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22DC463"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1B11AA">
        <w:rPr>
          <w:rFonts w:cs="Arial"/>
          <w:b/>
          <w:sz w:val="24"/>
          <w:szCs w:val="24"/>
        </w:rPr>
        <w:t>3</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327841">
        <w:rPr>
          <w:rFonts w:cs="Arial"/>
          <w:b/>
          <w:sz w:val="24"/>
          <w:szCs w:val="24"/>
        </w:rPr>
        <w:t>7990</w:t>
      </w:r>
    </w:p>
    <w:p w14:paraId="31DCE6A5" w14:textId="7E5782C3"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170684">
        <w:rPr>
          <w:rFonts w:cs="Arial"/>
          <w:b/>
          <w:sz w:val="24"/>
          <w:szCs w:val="24"/>
          <w:lang w:eastAsia="zh-CN"/>
        </w:rPr>
        <w:t>May</w:t>
      </w:r>
      <w:r w:rsidR="00281AEB" w:rsidRPr="004E2857">
        <w:rPr>
          <w:rFonts w:cs="Arial"/>
          <w:b/>
          <w:sz w:val="24"/>
          <w:szCs w:val="24"/>
          <w:lang w:eastAsia="zh-CN"/>
        </w:rPr>
        <w:t xml:space="preserve"> </w:t>
      </w:r>
      <w:r w:rsidR="00170684">
        <w:rPr>
          <w:rFonts w:cs="Arial"/>
          <w:b/>
          <w:sz w:val="24"/>
          <w:szCs w:val="24"/>
          <w:lang w:eastAsia="zh-CN"/>
        </w:rPr>
        <w:t xml:space="preserve">9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20</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C73978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70684">
        <w:rPr>
          <w:rFonts w:cs="Arial"/>
          <w:sz w:val="22"/>
        </w:rPr>
        <w:t>Finalizing</w:t>
      </w:r>
      <w:r w:rsidR="003C4E3B" w:rsidRPr="003C4E3B">
        <w:rPr>
          <w:rFonts w:cs="Arial"/>
          <w:sz w:val="22"/>
        </w:rPr>
        <w:t xml:space="preserve"> increased power for </w:t>
      </w:r>
      <w:r w:rsidR="00170684">
        <w:rPr>
          <w:rFonts w:cs="Arial"/>
          <w:sz w:val="22"/>
        </w:rPr>
        <w:t xml:space="preserve">PC2 </w:t>
      </w:r>
      <w:r w:rsidR="003C4E3B" w:rsidRPr="003C4E3B">
        <w:rPr>
          <w:rFonts w:cs="Arial"/>
          <w:sz w:val="22"/>
        </w:rPr>
        <w:t>inter-band CA</w:t>
      </w:r>
    </w:p>
    <w:p w14:paraId="5E8A96B5" w14:textId="298EB971"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70684" w:rsidRPr="00170684">
        <w:rPr>
          <w:rFonts w:ascii="Arial" w:hAnsi="Arial" w:cs="Arial"/>
          <w:sz w:val="22"/>
        </w:rPr>
        <w:t>8.29.3</w:t>
      </w:r>
      <w:r w:rsidR="00170684">
        <w:rPr>
          <w:rFonts w:ascii="Arial" w:hAnsi="Arial" w:cs="Arial"/>
          <w:sz w:val="22"/>
        </w:rPr>
        <w:t xml:space="preserve"> </w:t>
      </w:r>
      <w:r w:rsidR="00170684" w:rsidRPr="00170684">
        <w:rPr>
          <w:rFonts w:ascii="Arial" w:hAnsi="Arial" w:cs="Arial"/>
          <w:sz w:val="22"/>
        </w:rPr>
        <w:t>UE RF requirements</w:t>
      </w:r>
      <w:r w:rsidR="00170684">
        <w:rPr>
          <w:rFonts w:ascii="Arial" w:hAnsi="Arial" w:cs="Arial"/>
          <w:sz w:val="22"/>
        </w:rPr>
        <w:t xml:space="preserve"> </w:t>
      </w:r>
      <w:r w:rsidR="00170684" w:rsidRPr="00170684">
        <w:rPr>
          <w:rFonts w:ascii="Arial" w:hAnsi="Arial" w:cs="Arial"/>
          <w:sz w:val="22"/>
        </w:rPr>
        <w:t>[</w:t>
      </w:r>
      <w:proofErr w:type="spellStart"/>
      <w:r w:rsidR="00170684" w:rsidRPr="00170684">
        <w:rPr>
          <w:rFonts w:ascii="Arial" w:hAnsi="Arial" w:cs="Arial"/>
          <w:sz w:val="22"/>
        </w:rPr>
        <w:t>Power_Limit_CA_DC</w:t>
      </w:r>
      <w:proofErr w:type="spellEnd"/>
      <w:r w:rsidR="00170684" w:rsidRPr="00170684">
        <w:rPr>
          <w:rFonts w:ascii="Arial" w:hAnsi="Arial" w:cs="Arial"/>
          <w:sz w:val="22"/>
        </w:rPr>
        <w:t>-Core]</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355E2C13"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w:t>
      </w:r>
      <w:r w:rsidR="00170684">
        <w:rPr>
          <w:rFonts w:eastAsia="SimSun"/>
          <w:lang w:eastAsia="zh-CN"/>
        </w:rPr>
        <w:t>2</w:t>
      </w:r>
      <w:r w:rsidR="00292F35">
        <w:rPr>
          <w:rFonts w:eastAsia="SimSun"/>
          <w:lang w:eastAsia="zh-CN"/>
        </w:rPr>
        <w:t>-e</w:t>
      </w:r>
      <w:r w:rsidR="00530C06">
        <w:rPr>
          <w:rFonts w:eastAsia="SimSun"/>
          <w:lang w:eastAsia="zh-CN"/>
        </w:rPr>
        <w:t xml:space="preserve">, </w:t>
      </w:r>
      <w:r w:rsidR="00170684">
        <w:rPr>
          <w:rFonts w:eastAsia="SimSun"/>
          <w:lang w:eastAsia="zh-CN"/>
        </w:rPr>
        <w:t>u</w:t>
      </w:r>
      <w:r w:rsidR="002F351F">
        <w:rPr>
          <w:rFonts w:eastAsia="SimSun"/>
          <w:lang w:eastAsia="zh-CN"/>
        </w:rPr>
        <w:t xml:space="preserve">nfortunately, no conclusion was reached </w:t>
      </w:r>
      <w:r w:rsidR="00170684">
        <w:rPr>
          <w:rFonts w:eastAsia="SimSun"/>
          <w:lang w:eastAsia="zh-CN"/>
        </w:rPr>
        <w:t xml:space="preserve">on how to enable the increased power within the </w:t>
      </w:r>
      <w:proofErr w:type="spellStart"/>
      <w:r w:rsidR="00170684">
        <w:rPr>
          <w:rFonts w:eastAsia="SimSun"/>
          <w:lang w:eastAsia="zh-CN"/>
        </w:rPr>
        <w:t>PCmax</w:t>
      </w:r>
      <w:proofErr w:type="spellEnd"/>
      <w:r w:rsidR="00170684">
        <w:rPr>
          <w:rFonts w:eastAsia="SimSun"/>
          <w:lang w:eastAsia="zh-CN"/>
        </w:rPr>
        <w:t xml:space="preserve"> equations and the related signaling</w:t>
      </w:r>
      <w:r w:rsidR="000B26E8">
        <w:rPr>
          <w:rFonts w:eastAsia="SimSun"/>
          <w:lang w:eastAsia="zh-CN"/>
        </w:rPr>
        <w:t>;</w:t>
      </w:r>
      <w:r w:rsidR="00170684">
        <w:rPr>
          <w:rFonts w:eastAsia="SimSun"/>
          <w:lang w:eastAsia="zh-CN"/>
        </w:rPr>
        <w:t xml:space="preserve"> </w:t>
      </w:r>
      <w:r w:rsidR="000B26E8">
        <w:rPr>
          <w:rFonts w:eastAsia="SimSun"/>
          <w:lang w:eastAsia="zh-CN"/>
        </w:rPr>
        <w:t>thus,</w:t>
      </w:r>
      <w:r w:rsidR="00170684">
        <w:rPr>
          <w:rFonts w:eastAsia="SimSun"/>
          <w:lang w:eastAsia="zh-CN"/>
        </w:rPr>
        <w:t xml:space="preserve"> extension of the Release 17 WI was agreed</w:t>
      </w:r>
      <w:r w:rsidR="000B26E8">
        <w:rPr>
          <w:rFonts w:eastAsia="SimSun"/>
          <w:lang w:eastAsia="zh-CN"/>
        </w:rPr>
        <w:t xml:space="preserve"> upon</w:t>
      </w:r>
      <w:r w:rsidR="00170684">
        <w:rPr>
          <w:rFonts w:eastAsia="SimSun"/>
          <w:lang w:eastAsia="zh-CN"/>
        </w:rPr>
        <w:t xml:space="preserve"> in RAN#95e</w:t>
      </w:r>
      <w:r w:rsidR="002F351F">
        <w:rPr>
          <w:rFonts w:eastAsia="SimSun"/>
          <w:lang w:eastAsia="zh-CN"/>
        </w:rPr>
        <w:t xml:space="preserve">. </w:t>
      </w:r>
      <w:r w:rsidR="00E87473">
        <w:rPr>
          <w:rFonts w:eastAsia="SimSun"/>
          <w:lang w:eastAsia="zh-CN"/>
        </w:rPr>
        <w:t>To</w:t>
      </w:r>
      <w:r w:rsidR="00170684">
        <w:rPr>
          <w:rFonts w:eastAsia="SimSun"/>
          <w:lang w:eastAsia="zh-CN"/>
        </w:rPr>
        <w:t xml:space="preserve"> ease the conclusion, </w:t>
      </w:r>
      <w:r w:rsidR="002F351F">
        <w:rPr>
          <w:rFonts w:eastAsia="SimSun"/>
          <w:lang w:eastAsia="zh-CN"/>
        </w:rPr>
        <w:t xml:space="preserve">this contribution </w:t>
      </w:r>
      <w:r w:rsidR="00170684">
        <w:rPr>
          <w:rFonts w:eastAsia="SimSun"/>
          <w:lang w:eastAsia="zh-CN"/>
        </w:rPr>
        <w:t xml:space="preserve">focuses on PC2 </w:t>
      </w:r>
      <w:r w:rsidR="0019056A">
        <w:rPr>
          <w:rFonts w:eastAsia="SimSun"/>
          <w:lang w:eastAsia="zh-CN"/>
        </w:rPr>
        <w:t xml:space="preserve">while [2] was covering all power classes </w:t>
      </w:r>
      <w:r w:rsidR="00170684">
        <w:rPr>
          <w:rFonts w:eastAsia="SimSun"/>
          <w:lang w:eastAsia="zh-CN"/>
        </w:rPr>
        <w:t>and point</w:t>
      </w:r>
      <w:r w:rsidR="000B26E8">
        <w:rPr>
          <w:rFonts w:eastAsia="SimSun"/>
          <w:lang w:eastAsia="zh-CN"/>
        </w:rPr>
        <w:t>s</w:t>
      </w:r>
      <w:r w:rsidR="00170684">
        <w:rPr>
          <w:rFonts w:eastAsia="SimSun"/>
          <w:lang w:eastAsia="zh-CN"/>
        </w:rPr>
        <w:t xml:space="preserve"> at the relevant </w:t>
      </w:r>
      <w:r w:rsidR="0019056A">
        <w:rPr>
          <w:rFonts w:eastAsia="SimSun"/>
          <w:lang w:eastAsia="zh-CN"/>
        </w:rPr>
        <w:t xml:space="preserve">2TX cases in one band as already discussed in [1]. Proposals are made for </w:t>
      </w:r>
      <w:proofErr w:type="spellStart"/>
      <w:r w:rsidR="00170684">
        <w:rPr>
          <w:rFonts w:eastAsia="SimSun"/>
          <w:lang w:eastAsia="zh-CN"/>
        </w:rPr>
        <w:t>PCmax</w:t>
      </w:r>
      <w:proofErr w:type="spellEnd"/>
      <w:r w:rsidR="00170684">
        <w:rPr>
          <w:rFonts w:eastAsia="SimSun"/>
          <w:lang w:eastAsia="zh-CN"/>
        </w:rPr>
        <w:t xml:space="preserve"> equation implementation and signaling principle </w:t>
      </w:r>
      <w:r w:rsidR="0019056A">
        <w:rPr>
          <w:rFonts w:eastAsia="SimSun"/>
          <w:lang w:eastAsia="zh-CN"/>
        </w:rPr>
        <w:t xml:space="preserve">with a per band power class </w:t>
      </w:r>
      <w:r w:rsidR="00170684">
        <w:rPr>
          <w:rFonts w:eastAsia="SimSun"/>
          <w:lang w:eastAsia="zh-CN"/>
        </w:rPr>
        <w:t>to enable a generic approach</w:t>
      </w:r>
      <w:r w:rsidR="002D674F">
        <w:rPr>
          <w:lang w:val="en-GB" w:eastAsia="zh-CN"/>
        </w:rPr>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283E51EB" w:rsidR="005F2D4C" w:rsidRDefault="00341977" w:rsidP="005F2D4C">
      <w:pPr>
        <w:pStyle w:val="Heading2"/>
        <w:spacing w:after="240"/>
        <w:rPr>
          <w:lang w:eastAsia="zh-CN"/>
        </w:rPr>
      </w:pPr>
      <w:r>
        <w:rPr>
          <w:lang w:eastAsia="zh-CN"/>
        </w:rPr>
        <w:t xml:space="preserve">Valid PC2 increased power </w:t>
      </w:r>
      <w:r w:rsidR="002F351F">
        <w:rPr>
          <w:lang w:eastAsia="zh-CN"/>
        </w:rPr>
        <w:t>inter-band UL configurations</w:t>
      </w:r>
    </w:p>
    <w:p w14:paraId="07B92F83" w14:textId="037DA475" w:rsidR="00BF60DC" w:rsidRDefault="00BF60DC" w:rsidP="00BF60DC">
      <w:pPr>
        <w:spacing w:after="0"/>
        <w:rPr>
          <w:lang w:val="en-GB" w:eastAsia="zh-CN"/>
        </w:rPr>
      </w:pPr>
      <w:r>
        <w:rPr>
          <w:lang w:val="en-GB" w:eastAsia="zh-CN"/>
        </w:rPr>
        <w:t xml:space="preserve">In Table 1 we provide all the possible cases of combining power classes 5, 3, 2 and 1.5 with 1Tx or 2Tx approaches </w:t>
      </w:r>
      <w:r w:rsidR="00FC5DBC">
        <w:rPr>
          <w:lang w:val="en-GB" w:eastAsia="zh-CN"/>
        </w:rPr>
        <w:t>that result in a potential for increased power for a PC2 band combination</w:t>
      </w:r>
      <w:r>
        <w:rPr>
          <w:lang w:val="en-GB" w:eastAsia="zh-CN"/>
        </w:rPr>
        <w:t>. It should be noted that for PC5 we restricted to 1Tx</w:t>
      </w:r>
      <w:r w:rsidR="000B26E8">
        <w:rPr>
          <w:lang w:val="en-GB" w:eastAsia="zh-CN"/>
        </w:rPr>
        <w:t>;</w:t>
      </w:r>
      <w:r>
        <w:rPr>
          <w:lang w:val="en-GB" w:eastAsia="zh-CN"/>
        </w:rPr>
        <w:t xml:space="preserve"> but in any case</w:t>
      </w:r>
      <w:r w:rsidR="004665B0">
        <w:rPr>
          <w:lang w:val="en-GB" w:eastAsia="zh-CN"/>
        </w:rPr>
        <w:t>,</w:t>
      </w:r>
      <w:r>
        <w:rPr>
          <w:lang w:val="en-GB" w:eastAsia="zh-CN"/>
        </w:rPr>
        <w:t xml:space="preserve"> for PC5 and PC3</w:t>
      </w:r>
      <w:r w:rsidR="000B26E8">
        <w:rPr>
          <w:lang w:val="en-GB" w:eastAsia="zh-CN"/>
        </w:rPr>
        <w:t>,</w:t>
      </w:r>
      <w:r>
        <w:rPr>
          <w:lang w:val="en-GB" w:eastAsia="zh-CN"/>
        </w:rPr>
        <w:t xml:space="preserve"> the assumption is that there is always at least one full power PA.</w:t>
      </w:r>
    </w:p>
    <w:p w14:paraId="2D32460F" w14:textId="77777777" w:rsidR="00DC7410" w:rsidRDefault="00DC7410" w:rsidP="00BF60DC">
      <w:pPr>
        <w:spacing w:after="0"/>
        <w:rPr>
          <w:lang w:val="en-GB" w:eastAsia="zh-CN"/>
        </w:rPr>
      </w:pPr>
    </w:p>
    <w:p w14:paraId="2EE2754D" w14:textId="77777777" w:rsidR="00DC7410" w:rsidRDefault="00DC7410" w:rsidP="00BF60DC">
      <w:pPr>
        <w:spacing w:after="0"/>
        <w:rPr>
          <w:lang w:val="en-GB" w:eastAsia="zh-CN"/>
        </w:rPr>
      </w:pPr>
      <w:r>
        <w:rPr>
          <w:lang w:val="en-GB" w:eastAsia="zh-CN"/>
        </w:rPr>
        <w:t>The Table provides:</w:t>
      </w:r>
    </w:p>
    <w:p w14:paraId="3C565B11" w14:textId="7B5AC4C5" w:rsidR="00DC7410" w:rsidRPr="00DC7410" w:rsidRDefault="00DC7410" w:rsidP="00DC7410">
      <w:pPr>
        <w:pStyle w:val="ListParagraph"/>
        <w:numPr>
          <w:ilvl w:val="0"/>
          <w:numId w:val="33"/>
        </w:numPr>
        <w:spacing w:after="0"/>
        <w:rPr>
          <w:rFonts w:eastAsia="Yu Mincho"/>
          <w:lang w:eastAsia="ja-JP"/>
        </w:rPr>
      </w:pPr>
      <w:r>
        <w:rPr>
          <w:lang w:val="en-GB" w:eastAsia="zh-CN"/>
        </w:rPr>
        <w:t>T</w:t>
      </w:r>
      <w:r w:rsidRPr="00DC7410">
        <w:rPr>
          <w:lang w:val="en-GB" w:eastAsia="zh-CN"/>
        </w:rPr>
        <w:t>he single band power class per UL band and achievable total power</w:t>
      </w:r>
    </w:p>
    <w:p w14:paraId="7F30D46F" w14:textId="77777777" w:rsidR="00DC7410" w:rsidRPr="00DC7410" w:rsidRDefault="00DC7410" w:rsidP="00DC7410">
      <w:pPr>
        <w:pStyle w:val="ListParagraph"/>
        <w:numPr>
          <w:ilvl w:val="0"/>
          <w:numId w:val="33"/>
        </w:numPr>
        <w:spacing w:after="0"/>
        <w:rPr>
          <w:rFonts w:eastAsia="Yu Mincho"/>
          <w:lang w:eastAsia="ja-JP"/>
        </w:rPr>
      </w:pPr>
      <w:r>
        <w:rPr>
          <w:lang w:val="en-GB" w:eastAsia="zh-CN"/>
        </w:rPr>
        <w:t>T</w:t>
      </w:r>
      <w:r w:rsidRPr="00DC7410">
        <w:rPr>
          <w:lang w:val="en-GB" w:eastAsia="zh-CN"/>
        </w:rPr>
        <w:t xml:space="preserve">he 1Tx or 2TX operation per UL band, </w:t>
      </w:r>
    </w:p>
    <w:p w14:paraId="7CB68782" w14:textId="503B11D0" w:rsidR="00DC7410" w:rsidRPr="00DC7410" w:rsidRDefault="00DC7410" w:rsidP="00DC7410">
      <w:pPr>
        <w:pStyle w:val="ListParagraph"/>
        <w:numPr>
          <w:ilvl w:val="0"/>
          <w:numId w:val="33"/>
        </w:numPr>
        <w:spacing w:after="0"/>
        <w:rPr>
          <w:rFonts w:eastAsia="Yu Mincho"/>
          <w:lang w:eastAsia="ja-JP"/>
        </w:rPr>
      </w:pPr>
      <w:r>
        <w:rPr>
          <w:lang w:val="en-GB" w:eastAsia="zh-CN"/>
        </w:rPr>
        <w:t>T</w:t>
      </w:r>
      <w:r w:rsidRPr="00DC7410">
        <w:rPr>
          <w:lang w:val="en-GB" w:eastAsia="zh-CN"/>
        </w:rPr>
        <w:t>he effective power</w:t>
      </w:r>
      <w:r>
        <w:rPr>
          <w:lang w:val="en-GB" w:eastAsia="zh-CN"/>
        </w:rPr>
        <w:t xml:space="preserve"> per UL band once accounted for</w:t>
      </w:r>
      <w:r w:rsidRPr="00DC7410">
        <w:rPr>
          <w:lang w:val="en-GB" w:eastAsia="zh-CN"/>
        </w:rPr>
        <w:t xml:space="preserve"> 2TX operation</w:t>
      </w:r>
      <w:r>
        <w:rPr>
          <w:lang w:val="en-GB" w:eastAsia="zh-CN"/>
        </w:rPr>
        <w:t xml:space="preserve"> and related </w:t>
      </w:r>
      <w:r w:rsidRPr="00DC7410">
        <w:rPr>
          <w:lang w:val="en-GB" w:eastAsia="zh-CN"/>
        </w:rPr>
        <w:t>achievable total power</w:t>
      </w:r>
      <w:r w:rsidR="000B26E8">
        <w:rPr>
          <w:lang w:val="en-GB" w:eastAsia="zh-CN"/>
        </w:rPr>
        <w:t>.</w:t>
      </w:r>
    </w:p>
    <w:p w14:paraId="6709693D" w14:textId="432A708F" w:rsidR="00BF60DC" w:rsidRDefault="00BF60DC" w:rsidP="00BF60DC">
      <w:pPr>
        <w:pStyle w:val="Caption"/>
        <w:keepNext/>
        <w:jc w:val="center"/>
      </w:pPr>
      <w:r>
        <w:t xml:space="preserve">Table </w:t>
      </w:r>
      <w:r w:rsidR="00CF32E5">
        <w:fldChar w:fldCharType="begin"/>
      </w:r>
      <w:r w:rsidR="00CF32E5">
        <w:instrText xml:space="preserve"> SEQ Table \* ARABIC </w:instrText>
      </w:r>
      <w:r w:rsidR="00CF32E5">
        <w:fldChar w:fldCharType="separate"/>
      </w:r>
      <w:r w:rsidR="0019056A">
        <w:rPr>
          <w:noProof/>
        </w:rPr>
        <w:t>1</w:t>
      </w:r>
      <w:r w:rsidR="00CF32E5">
        <w:rPr>
          <w:noProof/>
        </w:rPr>
        <w:fldChar w:fldCharType="end"/>
      </w:r>
      <w:r>
        <w:t xml:space="preserve">: Possible </w:t>
      </w:r>
      <w:r w:rsidR="00341977">
        <w:t xml:space="preserve">PC2 </w:t>
      </w:r>
      <w:r>
        <w:t xml:space="preserve">combinations </w:t>
      </w:r>
      <w:r w:rsidR="00341977">
        <w:t>with increased power</w:t>
      </w:r>
      <w:r>
        <w:t xml:space="preserve"> with 1Tx and 2Tx cases</w:t>
      </w:r>
    </w:p>
    <w:tbl>
      <w:tblPr>
        <w:tblW w:w="6585" w:type="dxa"/>
        <w:jc w:val="center"/>
        <w:tblLook w:val="04A0" w:firstRow="1" w:lastRow="0" w:firstColumn="1" w:lastColumn="0" w:noHBand="0" w:noVBand="1"/>
      </w:tblPr>
      <w:tblGrid>
        <w:gridCol w:w="678"/>
        <w:gridCol w:w="678"/>
        <w:gridCol w:w="678"/>
        <w:gridCol w:w="678"/>
        <w:gridCol w:w="536"/>
        <w:gridCol w:w="678"/>
        <w:gridCol w:w="767"/>
        <w:gridCol w:w="678"/>
        <w:gridCol w:w="678"/>
        <w:gridCol w:w="536"/>
      </w:tblGrid>
      <w:tr w:rsidR="0019056A" w:rsidRPr="00BF60DC" w14:paraId="2EFDD974" w14:textId="77777777" w:rsidTr="00907842">
        <w:trPr>
          <w:trHeight w:val="152"/>
          <w:jc w:val="center"/>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tcPr>
          <w:p w14:paraId="32C3815D" w14:textId="52549EBD" w:rsidR="0019056A" w:rsidRPr="00BF60DC" w:rsidRDefault="0019056A"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band power</w:t>
            </w:r>
            <w:r>
              <w:rPr>
                <w:rFonts w:ascii="Calibri" w:hAnsi="Calibri"/>
                <w:color w:val="000000"/>
                <w:sz w:val="18"/>
                <w:szCs w:val="18"/>
              </w:rPr>
              <w:t xml:space="preserve"> class</w:t>
            </w:r>
          </w:p>
        </w:tc>
        <w:tc>
          <w:tcPr>
            <w:tcW w:w="1892" w:type="dxa"/>
            <w:gridSpan w:val="3"/>
            <w:tcBorders>
              <w:top w:val="single" w:sz="4" w:space="0" w:color="auto"/>
              <w:left w:val="single" w:sz="4" w:space="0" w:color="auto"/>
              <w:bottom w:val="single" w:sz="4" w:space="0" w:color="auto"/>
              <w:right w:val="single" w:sz="4" w:space="0" w:color="auto"/>
            </w:tcBorders>
            <w:shd w:val="clear" w:color="000000" w:fill="D9D9D9"/>
            <w:vAlign w:val="bottom"/>
            <w:hideMark/>
          </w:tcPr>
          <w:p w14:paraId="692D5BA4" w14:textId="62147EE8" w:rsidR="0019056A" w:rsidRPr="00BF60DC" w:rsidRDefault="0019056A"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band max power</w:t>
            </w:r>
          </w:p>
        </w:tc>
        <w:tc>
          <w:tcPr>
            <w:tcW w:w="1445" w:type="dxa"/>
            <w:gridSpan w:val="2"/>
            <w:tcBorders>
              <w:top w:val="single" w:sz="4" w:space="0" w:color="auto"/>
              <w:left w:val="nil"/>
              <w:bottom w:val="single" w:sz="4" w:space="0" w:color="auto"/>
              <w:right w:val="single" w:sz="4" w:space="0" w:color="auto"/>
            </w:tcBorders>
            <w:shd w:val="clear" w:color="000000" w:fill="D9D9D9"/>
            <w:vAlign w:val="bottom"/>
            <w:hideMark/>
          </w:tcPr>
          <w:p w14:paraId="0C219AB1" w14:textId="77777777" w:rsidR="0019056A" w:rsidRPr="00BF60DC" w:rsidRDefault="0019056A"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 or 2 Tx</w:t>
            </w:r>
          </w:p>
        </w:tc>
        <w:tc>
          <w:tcPr>
            <w:tcW w:w="1892" w:type="dxa"/>
            <w:gridSpan w:val="3"/>
            <w:tcBorders>
              <w:top w:val="single" w:sz="4" w:space="0" w:color="auto"/>
              <w:left w:val="nil"/>
              <w:bottom w:val="single" w:sz="4" w:space="0" w:color="auto"/>
              <w:right w:val="single" w:sz="4" w:space="0" w:color="auto"/>
            </w:tcBorders>
            <w:shd w:val="clear" w:color="000000" w:fill="D9D9D9"/>
            <w:vAlign w:val="bottom"/>
            <w:hideMark/>
          </w:tcPr>
          <w:p w14:paraId="0038324D" w14:textId="6E837079" w:rsidR="0019056A" w:rsidRPr="00BF60DC" w:rsidRDefault="0019056A" w:rsidP="00BF60DC">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E</w:t>
            </w:r>
            <w:r w:rsidRPr="00BF60DC">
              <w:rPr>
                <w:rFonts w:ascii="Calibri" w:hAnsi="Calibri"/>
                <w:color w:val="000000"/>
                <w:sz w:val="18"/>
                <w:szCs w:val="18"/>
              </w:rPr>
              <w:t>ffective max power w</w:t>
            </w:r>
            <w:r>
              <w:rPr>
                <w:rFonts w:ascii="Calibri" w:hAnsi="Calibri"/>
                <w:color w:val="000000"/>
                <w:sz w:val="18"/>
                <w:szCs w:val="18"/>
              </w:rPr>
              <w:t>ith</w:t>
            </w:r>
            <w:r w:rsidRPr="00BF60DC">
              <w:rPr>
                <w:rFonts w:ascii="Calibri" w:hAnsi="Calibri"/>
                <w:color w:val="000000"/>
                <w:sz w:val="18"/>
                <w:szCs w:val="18"/>
              </w:rPr>
              <w:t xml:space="preserve"> 2Tx</w:t>
            </w:r>
          </w:p>
        </w:tc>
      </w:tr>
      <w:tr w:rsidR="0019056A" w:rsidRPr="00BF60DC" w14:paraId="2AF26DAD" w14:textId="77777777" w:rsidTr="00907842">
        <w:trPr>
          <w:trHeight w:val="70"/>
          <w:jc w:val="center"/>
        </w:trPr>
        <w:tc>
          <w:tcPr>
            <w:tcW w:w="678" w:type="dxa"/>
            <w:tcBorders>
              <w:top w:val="nil"/>
              <w:left w:val="single" w:sz="4" w:space="0" w:color="auto"/>
              <w:bottom w:val="single" w:sz="4" w:space="0" w:color="auto"/>
              <w:right w:val="single" w:sz="4" w:space="0" w:color="auto"/>
            </w:tcBorders>
            <w:shd w:val="clear" w:color="000000" w:fill="BFBFBF"/>
            <w:vAlign w:val="bottom"/>
          </w:tcPr>
          <w:p w14:paraId="5EAC9735" w14:textId="0AB1794C" w:rsidR="0019056A" w:rsidRPr="00BF60DC" w:rsidRDefault="0019056A" w:rsidP="0019056A">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single" w:sz="4" w:space="0" w:color="auto"/>
              <w:bottom w:val="single" w:sz="4" w:space="0" w:color="auto"/>
              <w:right w:val="single" w:sz="4" w:space="0" w:color="auto"/>
            </w:tcBorders>
            <w:shd w:val="clear" w:color="000000" w:fill="BFBFBF"/>
            <w:vAlign w:val="bottom"/>
          </w:tcPr>
          <w:p w14:paraId="1E31C651" w14:textId="55870B7C" w:rsidR="0019056A" w:rsidRPr="00BF60DC" w:rsidRDefault="0019056A" w:rsidP="0019056A">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678" w:type="dxa"/>
            <w:tcBorders>
              <w:top w:val="nil"/>
              <w:left w:val="single" w:sz="4" w:space="0" w:color="auto"/>
              <w:bottom w:val="single" w:sz="4" w:space="0" w:color="auto"/>
              <w:right w:val="single" w:sz="4" w:space="0" w:color="auto"/>
            </w:tcBorders>
            <w:shd w:val="clear" w:color="000000" w:fill="BFBFBF"/>
            <w:noWrap/>
            <w:vAlign w:val="bottom"/>
            <w:hideMark/>
          </w:tcPr>
          <w:p w14:paraId="5B8C0657" w14:textId="1146A820" w:rsidR="0019056A" w:rsidRPr="00BF60DC" w:rsidRDefault="0019056A" w:rsidP="0019056A">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25DC1139" w14:textId="0BE37226" w:rsidR="0019056A" w:rsidRPr="00BF60DC" w:rsidRDefault="0019056A" w:rsidP="0019056A">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536" w:type="dxa"/>
            <w:tcBorders>
              <w:top w:val="nil"/>
              <w:left w:val="nil"/>
              <w:bottom w:val="single" w:sz="4" w:space="0" w:color="auto"/>
              <w:right w:val="single" w:sz="4" w:space="0" w:color="auto"/>
            </w:tcBorders>
            <w:shd w:val="clear" w:color="000000" w:fill="BFBFBF"/>
            <w:noWrap/>
            <w:vAlign w:val="bottom"/>
            <w:hideMark/>
          </w:tcPr>
          <w:p w14:paraId="068D747A" w14:textId="77777777" w:rsidR="0019056A" w:rsidRPr="00BF60DC" w:rsidRDefault="0019056A" w:rsidP="0019056A">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tot</w:t>
            </w:r>
          </w:p>
        </w:tc>
        <w:tc>
          <w:tcPr>
            <w:tcW w:w="678" w:type="dxa"/>
            <w:tcBorders>
              <w:top w:val="nil"/>
              <w:left w:val="nil"/>
              <w:bottom w:val="single" w:sz="4" w:space="0" w:color="auto"/>
              <w:right w:val="single" w:sz="4" w:space="0" w:color="auto"/>
            </w:tcBorders>
            <w:shd w:val="clear" w:color="000000" w:fill="BFBFBF"/>
            <w:noWrap/>
            <w:vAlign w:val="bottom"/>
            <w:hideMark/>
          </w:tcPr>
          <w:p w14:paraId="7BBA2BB5" w14:textId="67A422CE" w:rsidR="0019056A" w:rsidRPr="00BF60DC" w:rsidRDefault="0019056A" w:rsidP="0019056A">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767" w:type="dxa"/>
            <w:tcBorders>
              <w:top w:val="nil"/>
              <w:left w:val="nil"/>
              <w:bottom w:val="single" w:sz="4" w:space="0" w:color="auto"/>
              <w:right w:val="single" w:sz="4" w:space="0" w:color="auto"/>
            </w:tcBorders>
            <w:shd w:val="clear" w:color="000000" w:fill="BFBFBF"/>
            <w:noWrap/>
            <w:vAlign w:val="bottom"/>
            <w:hideMark/>
          </w:tcPr>
          <w:p w14:paraId="302BB238" w14:textId="64C6CC32" w:rsidR="0019056A" w:rsidRPr="00BF60DC" w:rsidRDefault="0019056A" w:rsidP="0019056A">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678" w:type="dxa"/>
            <w:tcBorders>
              <w:top w:val="nil"/>
              <w:left w:val="nil"/>
              <w:bottom w:val="single" w:sz="4" w:space="0" w:color="auto"/>
              <w:right w:val="single" w:sz="4" w:space="0" w:color="auto"/>
            </w:tcBorders>
            <w:shd w:val="clear" w:color="000000" w:fill="BFBFBF"/>
            <w:noWrap/>
            <w:vAlign w:val="bottom"/>
            <w:hideMark/>
          </w:tcPr>
          <w:p w14:paraId="1760E4BD" w14:textId="515606C2" w:rsidR="0019056A" w:rsidRPr="00BF60DC" w:rsidRDefault="0019056A" w:rsidP="0019056A">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7B33EAB1" w14:textId="09ED1744" w:rsidR="0019056A" w:rsidRPr="00BF60DC" w:rsidRDefault="0019056A" w:rsidP="0019056A">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536" w:type="dxa"/>
            <w:tcBorders>
              <w:top w:val="nil"/>
              <w:left w:val="nil"/>
              <w:bottom w:val="single" w:sz="4" w:space="0" w:color="auto"/>
              <w:right w:val="single" w:sz="4" w:space="0" w:color="auto"/>
            </w:tcBorders>
            <w:shd w:val="clear" w:color="000000" w:fill="BFBFBF"/>
            <w:noWrap/>
            <w:vAlign w:val="bottom"/>
            <w:hideMark/>
          </w:tcPr>
          <w:p w14:paraId="11BF85CF" w14:textId="77777777" w:rsidR="0019056A" w:rsidRPr="00BF60DC" w:rsidRDefault="0019056A" w:rsidP="0019056A">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tot</w:t>
            </w:r>
          </w:p>
        </w:tc>
      </w:tr>
      <w:tr w:rsidR="0019056A" w:rsidRPr="00BF60DC" w14:paraId="461BDA09" w14:textId="77777777" w:rsidTr="00907842">
        <w:trPr>
          <w:trHeight w:val="70"/>
          <w:jc w:val="center"/>
        </w:trPr>
        <w:tc>
          <w:tcPr>
            <w:tcW w:w="678" w:type="dxa"/>
            <w:tcBorders>
              <w:top w:val="nil"/>
              <w:left w:val="single" w:sz="4" w:space="0" w:color="auto"/>
              <w:bottom w:val="single" w:sz="4" w:space="0" w:color="auto"/>
              <w:right w:val="single" w:sz="4" w:space="0" w:color="auto"/>
            </w:tcBorders>
          </w:tcPr>
          <w:p w14:paraId="509D8AB4" w14:textId="0608E14E"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PC5</w:t>
            </w:r>
          </w:p>
        </w:tc>
        <w:tc>
          <w:tcPr>
            <w:tcW w:w="678" w:type="dxa"/>
            <w:tcBorders>
              <w:top w:val="nil"/>
              <w:left w:val="single" w:sz="4" w:space="0" w:color="auto"/>
              <w:bottom w:val="single" w:sz="4" w:space="0" w:color="auto"/>
              <w:right w:val="single" w:sz="4" w:space="0" w:color="auto"/>
            </w:tcBorders>
          </w:tcPr>
          <w:p w14:paraId="46DEF155" w14:textId="5EA3F314"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PC2</w:t>
            </w:r>
          </w:p>
        </w:tc>
        <w:tc>
          <w:tcPr>
            <w:tcW w:w="678" w:type="dxa"/>
            <w:tcBorders>
              <w:top w:val="nil"/>
              <w:left w:val="single" w:sz="4" w:space="0" w:color="auto"/>
              <w:bottom w:val="single" w:sz="4" w:space="0" w:color="auto"/>
              <w:right w:val="single" w:sz="4" w:space="0" w:color="auto"/>
            </w:tcBorders>
            <w:shd w:val="clear" w:color="auto" w:fill="auto"/>
            <w:noWrap/>
            <w:vAlign w:val="bottom"/>
            <w:hideMark/>
          </w:tcPr>
          <w:p w14:paraId="1DB1426B" w14:textId="7691C0C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auto" w:fill="auto"/>
            <w:noWrap/>
            <w:vAlign w:val="bottom"/>
            <w:hideMark/>
          </w:tcPr>
          <w:p w14:paraId="344DBED1"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auto" w:fill="auto"/>
            <w:noWrap/>
            <w:vAlign w:val="bottom"/>
            <w:hideMark/>
          </w:tcPr>
          <w:p w14:paraId="259E1764"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27.0</w:t>
            </w:r>
          </w:p>
        </w:tc>
        <w:tc>
          <w:tcPr>
            <w:tcW w:w="678" w:type="dxa"/>
            <w:tcBorders>
              <w:top w:val="nil"/>
              <w:left w:val="nil"/>
              <w:bottom w:val="single" w:sz="4" w:space="0" w:color="auto"/>
              <w:right w:val="single" w:sz="4" w:space="0" w:color="auto"/>
            </w:tcBorders>
            <w:shd w:val="clear" w:color="auto" w:fill="auto"/>
            <w:noWrap/>
            <w:vAlign w:val="bottom"/>
            <w:hideMark/>
          </w:tcPr>
          <w:p w14:paraId="3CF42B66"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767" w:type="dxa"/>
            <w:tcBorders>
              <w:top w:val="nil"/>
              <w:left w:val="nil"/>
              <w:bottom w:val="single" w:sz="4" w:space="0" w:color="auto"/>
              <w:right w:val="single" w:sz="4" w:space="0" w:color="auto"/>
            </w:tcBorders>
            <w:shd w:val="clear" w:color="auto" w:fill="auto"/>
            <w:noWrap/>
            <w:vAlign w:val="bottom"/>
            <w:hideMark/>
          </w:tcPr>
          <w:p w14:paraId="7E31BA3F"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auto" w:fill="auto"/>
            <w:noWrap/>
            <w:vAlign w:val="bottom"/>
            <w:hideMark/>
          </w:tcPr>
          <w:p w14:paraId="54C30D0E"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auto" w:fill="auto"/>
            <w:noWrap/>
            <w:vAlign w:val="bottom"/>
            <w:hideMark/>
          </w:tcPr>
          <w:p w14:paraId="59D8A9D3"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auto" w:fill="auto"/>
            <w:noWrap/>
            <w:vAlign w:val="bottom"/>
            <w:hideMark/>
          </w:tcPr>
          <w:p w14:paraId="67F7F863"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27.0</w:t>
            </w:r>
          </w:p>
        </w:tc>
      </w:tr>
      <w:tr w:rsidR="0019056A" w:rsidRPr="00BF60DC" w14:paraId="77491863" w14:textId="77777777" w:rsidTr="00907842">
        <w:trPr>
          <w:trHeight w:val="70"/>
          <w:jc w:val="center"/>
        </w:trPr>
        <w:tc>
          <w:tcPr>
            <w:tcW w:w="678" w:type="dxa"/>
            <w:tcBorders>
              <w:top w:val="nil"/>
              <w:left w:val="single" w:sz="4" w:space="0" w:color="auto"/>
              <w:bottom w:val="single" w:sz="4" w:space="0" w:color="auto"/>
              <w:right w:val="single" w:sz="4" w:space="0" w:color="auto"/>
            </w:tcBorders>
          </w:tcPr>
          <w:p w14:paraId="4DA724E2" w14:textId="329B6748"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PC5</w:t>
            </w:r>
          </w:p>
        </w:tc>
        <w:tc>
          <w:tcPr>
            <w:tcW w:w="678" w:type="dxa"/>
            <w:tcBorders>
              <w:top w:val="nil"/>
              <w:left w:val="single" w:sz="4" w:space="0" w:color="auto"/>
              <w:bottom w:val="single" w:sz="4" w:space="0" w:color="auto"/>
              <w:right w:val="single" w:sz="4" w:space="0" w:color="auto"/>
            </w:tcBorders>
          </w:tcPr>
          <w:p w14:paraId="203ED349" w14:textId="02BFB114"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PC2</w:t>
            </w:r>
          </w:p>
        </w:tc>
        <w:tc>
          <w:tcPr>
            <w:tcW w:w="678" w:type="dxa"/>
            <w:tcBorders>
              <w:top w:val="nil"/>
              <w:left w:val="single" w:sz="4" w:space="0" w:color="auto"/>
              <w:bottom w:val="single" w:sz="4" w:space="0" w:color="auto"/>
              <w:right w:val="single" w:sz="4" w:space="0" w:color="auto"/>
            </w:tcBorders>
            <w:shd w:val="clear" w:color="auto" w:fill="auto"/>
            <w:noWrap/>
            <w:vAlign w:val="bottom"/>
            <w:hideMark/>
          </w:tcPr>
          <w:p w14:paraId="3321AA71" w14:textId="71DD30D4"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auto" w:fill="auto"/>
            <w:noWrap/>
            <w:vAlign w:val="bottom"/>
            <w:hideMark/>
          </w:tcPr>
          <w:p w14:paraId="2D947F21"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auto" w:fill="auto"/>
            <w:noWrap/>
            <w:vAlign w:val="bottom"/>
            <w:hideMark/>
          </w:tcPr>
          <w:p w14:paraId="34DDD2CE"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29.5</w:t>
            </w:r>
          </w:p>
        </w:tc>
        <w:tc>
          <w:tcPr>
            <w:tcW w:w="678" w:type="dxa"/>
            <w:tcBorders>
              <w:top w:val="nil"/>
              <w:left w:val="nil"/>
              <w:bottom w:val="single" w:sz="4" w:space="0" w:color="auto"/>
              <w:right w:val="single" w:sz="4" w:space="0" w:color="auto"/>
            </w:tcBorders>
            <w:shd w:val="clear" w:color="auto" w:fill="auto"/>
            <w:noWrap/>
            <w:vAlign w:val="bottom"/>
            <w:hideMark/>
          </w:tcPr>
          <w:p w14:paraId="3CECFD0E"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767" w:type="dxa"/>
            <w:tcBorders>
              <w:top w:val="nil"/>
              <w:left w:val="nil"/>
              <w:bottom w:val="single" w:sz="4" w:space="0" w:color="auto"/>
              <w:right w:val="single" w:sz="4" w:space="0" w:color="auto"/>
            </w:tcBorders>
            <w:shd w:val="clear" w:color="auto" w:fill="auto"/>
            <w:noWrap/>
            <w:vAlign w:val="bottom"/>
            <w:hideMark/>
          </w:tcPr>
          <w:p w14:paraId="6AB4E237"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auto" w:fill="auto"/>
            <w:noWrap/>
            <w:vAlign w:val="bottom"/>
            <w:hideMark/>
          </w:tcPr>
          <w:p w14:paraId="385759E8"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auto" w:fill="auto"/>
            <w:noWrap/>
            <w:vAlign w:val="bottom"/>
            <w:hideMark/>
          </w:tcPr>
          <w:p w14:paraId="0A20F1C6"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auto" w:fill="auto"/>
            <w:noWrap/>
            <w:vAlign w:val="bottom"/>
            <w:hideMark/>
          </w:tcPr>
          <w:p w14:paraId="2CE80043"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27.0</w:t>
            </w:r>
          </w:p>
        </w:tc>
      </w:tr>
      <w:tr w:rsidR="0019056A" w:rsidRPr="00BF60DC" w14:paraId="3D983893" w14:textId="77777777" w:rsidTr="00907842">
        <w:trPr>
          <w:trHeight w:val="70"/>
          <w:jc w:val="center"/>
        </w:trPr>
        <w:tc>
          <w:tcPr>
            <w:tcW w:w="678" w:type="dxa"/>
            <w:tcBorders>
              <w:top w:val="nil"/>
              <w:left w:val="single" w:sz="4" w:space="0" w:color="auto"/>
              <w:bottom w:val="single" w:sz="4" w:space="0" w:color="auto"/>
              <w:right w:val="single" w:sz="4" w:space="0" w:color="auto"/>
            </w:tcBorders>
            <w:shd w:val="clear" w:color="auto" w:fill="FFFF00"/>
          </w:tcPr>
          <w:p w14:paraId="18772362" w14:textId="74C6E01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PC3</w:t>
            </w:r>
          </w:p>
        </w:tc>
        <w:tc>
          <w:tcPr>
            <w:tcW w:w="678" w:type="dxa"/>
            <w:tcBorders>
              <w:top w:val="nil"/>
              <w:left w:val="single" w:sz="4" w:space="0" w:color="auto"/>
              <w:bottom w:val="single" w:sz="4" w:space="0" w:color="auto"/>
              <w:right w:val="single" w:sz="4" w:space="0" w:color="auto"/>
            </w:tcBorders>
            <w:shd w:val="clear" w:color="auto" w:fill="FFFF00"/>
          </w:tcPr>
          <w:p w14:paraId="2D95332E" w14:textId="70C18EB8"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w:t>
            </w:r>
          </w:p>
        </w:tc>
        <w:tc>
          <w:tcPr>
            <w:tcW w:w="678" w:type="dxa"/>
            <w:tcBorders>
              <w:top w:val="nil"/>
              <w:left w:val="single" w:sz="4" w:space="0" w:color="auto"/>
              <w:bottom w:val="single" w:sz="4" w:space="0" w:color="auto"/>
              <w:right w:val="single" w:sz="4" w:space="0" w:color="auto"/>
            </w:tcBorders>
            <w:shd w:val="clear" w:color="auto" w:fill="FFFF00"/>
            <w:noWrap/>
            <w:vAlign w:val="bottom"/>
            <w:hideMark/>
          </w:tcPr>
          <w:p w14:paraId="71E1FF6A" w14:textId="253C618D"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auto" w:fill="FFFF00"/>
            <w:noWrap/>
            <w:vAlign w:val="bottom"/>
            <w:hideMark/>
          </w:tcPr>
          <w:p w14:paraId="061087AA"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auto" w:fill="FFFF00"/>
            <w:noWrap/>
            <w:vAlign w:val="bottom"/>
            <w:hideMark/>
          </w:tcPr>
          <w:p w14:paraId="43312580"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30.0</w:t>
            </w:r>
          </w:p>
        </w:tc>
        <w:tc>
          <w:tcPr>
            <w:tcW w:w="678" w:type="dxa"/>
            <w:tcBorders>
              <w:top w:val="nil"/>
              <w:left w:val="nil"/>
              <w:bottom w:val="single" w:sz="4" w:space="0" w:color="auto"/>
              <w:right w:val="single" w:sz="4" w:space="0" w:color="auto"/>
            </w:tcBorders>
            <w:shd w:val="clear" w:color="auto" w:fill="FFFF00"/>
            <w:noWrap/>
            <w:vAlign w:val="bottom"/>
            <w:hideMark/>
          </w:tcPr>
          <w:p w14:paraId="4F7887CD"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767" w:type="dxa"/>
            <w:tcBorders>
              <w:top w:val="nil"/>
              <w:left w:val="nil"/>
              <w:bottom w:val="single" w:sz="4" w:space="0" w:color="auto"/>
              <w:right w:val="single" w:sz="4" w:space="0" w:color="auto"/>
            </w:tcBorders>
            <w:shd w:val="clear" w:color="auto" w:fill="FFFF00"/>
            <w:noWrap/>
            <w:vAlign w:val="bottom"/>
            <w:hideMark/>
          </w:tcPr>
          <w:p w14:paraId="5DFE9751"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auto" w:fill="FFFF00"/>
            <w:noWrap/>
            <w:vAlign w:val="bottom"/>
            <w:hideMark/>
          </w:tcPr>
          <w:p w14:paraId="0AFFE215"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auto" w:fill="FFFF00"/>
            <w:noWrap/>
            <w:vAlign w:val="bottom"/>
            <w:hideMark/>
          </w:tcPr>
          <w:p w14:paraId="15910970"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auto" w:fill="FFFF00"/>
            <w:noWrap/>
            <w:vAlign w:val="bottom"/>
            <w:hideMark/>
          </w:tcPr>
          <w:p w14:paraId="7823BDF0"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27.0</w:t>
            </w:r>
          </w:p>
        </w:tc>
      </w:tr>
      <w:tr w:rsidR="0019056A" w:rsidRPr="00BF60DC" w14:paraId="1D8F33FA" w14:textId="77777777" w:rsidTr="00907842">
        <w:trPr>
          <w:trHeight w:val="70"/>
          <w:jc w:val="center"/>
        </w:trPr>
        <w:tc>
          <w:tcPr>
            <w:tcW w:w="678" w:type="dxa"/>
            <w:tcBorders>
              <w:top w:val="nil"/>
              <w:left w:val="single" w:sz="4" w:space="0" w:color="auto"/>
              <w:bottom w:val="single" w:sz="4" w:space="0" w:color="auto"/>
              <w:right w:val="single" w:sz="4" w:space="0" w:color="auto"/>
            </w:tcBorders>
          </w:tcPr>
          <w:p w14:paraId="5B375BF3" w14:textId="3928C9C1"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A42266">
              <w:rPr>
                <w:rFonts w:ascii="Calibri" w:hAnsi="Calibri"/>
                <w:color w:val="000000"/>
                <w:sz w:val="18"/>
                <w:szCs w:val="18"/>
              </w:rPr>
              <w:t>PC3</w:t>
            </w:r>
          </w:p>
        </w:tc>
        <w:tc>
          <w:tcPr>
            <w:tcW w:w="678" w:type="dxa"/>
            <w:tcBorders>
              <w:top w:val="nil"/>
              <w:left w:val="single" w:sz="4" w:space="0" w:color="auto"/>
              <w:bottom w:val="single" w:sz="4" w:space="0" w:color="auto"/>
              <w:right w:val="single" w:sz="4" w:space="0" w:color="auto"/>
            </w:tcBorders>
          </w:tcPr>
          <w:p w14:paraId="75CF51EA" w14:textId="60DDFAF3"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PC2</w:t>
            </w:r>
          </w:p>
        </w:tc>
        <w:tc>
          <w:tcPr>
            <w:tcW w:w="678" w:type="dxa"/>
            <w:tcBorders>
              <w:top w:val="nil"/>
              <w:left w:val="single" w:sz="4" w:space="0" w:color="auto"/>
              <w:bottom w:val="single" w:sz="4" w:space="0" w:color="auto"/>
              <w:right w:val="single" w:sz="4" w:space="0" w:color="auto"/>
            </w:tcBorders>
            <w:shd w:val="clear" w:color="auto" w:fill="auto"/>
            <w:noWrap/>
            <w:vAlign w:val="bottom"/>
            <w:hideMark/>
          </w:tcPr>
          <w:p w14:paraId="4C2C4EFF" w14:textId="4FD9379D"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auto" w:fill="auto"/>
            <w:noWrap/>
            <w:vAlign w:val="bottom"/>
            <w:hideMark/>
          </w:tcPr>
          <w:p w14:paraId="5ADF716A"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auto" w:fill="auto"/>
            <w:noWrap/>
            <w:vAlign w:val="bottom"/>
            <w:hideMark/>
          </w:tcPr>
          <w:p w14:paraId="490ED51C"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27.8</w:t>
            </w:r>
          </w:p>
        </w:tc>
        <w:tc>
          <w:tcPr>
            <w:tcW w:w="678" w:type="dxa"/>
            <w:tcBorders>
              <w:top w:val="nil"/>
              <w:left w:val="nil"/>
              <w:bottom w:val="single" w:sz="4" w:space="0" w:color="auto"/>
              <w:right w:val="single" w:sz="4" w:space="0" w:color="auto"/>
            </w:tcBorders>
            <w:shd w:val="clear" w:color="auto" w:fill="auto"/>
            <w:noWrap/>
            <w:vAlign w:val="bottom"/>
            <w:hideMark/>
          </w:tcPr>
          <w:p w14:paraId="591278B3"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767" w:type="dxa"/>
            <w:tcBorders>
              <w:top w:val="nil"/>
              <w:left w:val="nil"/>
              <w:bottom w:val="single" w:sz="4" w:space="0" w:color="auto"/>
              <w:right w:val="single" w:sz="4" w:space="0" w:color="auto"/>
            </w:tcBorders>
            <w:shd w:val="clear" w:color="auto" w:fill="auto"/>
            <w:noWrap/>
            <w:vAlign w:val="bottom"/>
            <w:hideMark/>
          </w:tcPr>
          <w:p w14:paraId="34AD4996"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auto" w:fill="auto"/>
            <w:noWrap/>
            <w:vAlign w:val="bottom"/>
            <w:hideMark/>
          </w:tcPr>
          <w:p w14:paraId="76ECE22B"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auto" w:fill="auto"/>
            <w:noWrap/>
            <w:vAlign w:val="bottom"/>
            <w:hideMark/>
          </w:tcPr>
          <w:p w14:paraId="78AD944A"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auto" w:fill="auto"/>
            <w:noWrap/>
            <w:vAlign w:val="bottom"/>
            <w:hideMark/>
          </w:tcPr>
          <w:p w14:paraId="361EC0B6"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27.8</w:t>
            </w:r>
          </w:p>
        </w:tc>
      </w:tr>
      <w:tr w:rsidR="0019056A" w:rsidRPr="00BF60DC" w14:paraId="21985869" w14:textId="77777777" w:rsidTr="00907842">
        <w:trPr>
          <w:trHeight w:val="70"/>
          <w:jc w:val="center"/>
        </w:trPr>
        <w:tc>
          <w:tcPr>
            <w:tcW w:w="678" w:type="dxa"/>
            <w:tcBorders>
              <w:top w:val="nil"/>
              <w:left w:val="single" w:sz="4" w:space="0" w:color="auto"/>
              <w:bottom w:val="single" w:sz="4" w:space="0" w:color="auto"/>
              <w:right w:val="single" w:sz="4" w:space="0" w:color="auto"/>
            </w:tcBorders>
          </w:tcPr>
          <w:p w14:paraId="1AF55755" w14:textId="6CD0BB71"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A42266">
              <w:rPr>
                <w:rFonts w:ascii="Calibri" w:hAnsi="Calibri"/>
                <w:color w:val="000000"/>
                <w:sz w:val="18"/>
                <w:szCs w:val="18"/>
              </w:rPr>
              <w:t>PC3</w:t>
            </w:r>
          </w:p>
        </w:tc>
        <w:tc>
          <w:tcPr>
            <w:tcW w:w="678" w:type="dxa"/>
            <w:tcBorders>
              <w:top w:val="nil"/>
              <w:left w:val="single" w:sz="4" w:space="0" w:color="auto"/>
              <w:bottom w:val="single" w:sz="4" w:space="0" w:color="auto"/>
              <w:right w:val="single" w:sz="4" w:space="0" w:color="auto"/>
            </w:tcBorders>
          </w:tcPr>
          <w:p w14:paraId="512407AF" w14:textId="3EF11511"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w:t>
            </w:r>
          </w:p>
        </w:tc>
        <w:tc>
          <w:tcPr>
            <w:tcW w:w="678" w:type="dxa"/>
            <w:tcBorders>
              <w:top w:val="nil"/>
              <w:left w:val="single" w:sz="4" w:space="0" w:color="auto"/>
              <w:bottom w:val="single" w:sz="4" w:space="0" w:color="auto"/>
              <w:right w:val="single" w:sz="4" w:space="0" w:color="auto"/>
            </w:tcBorders>
            <w:shd w:val="clear" w:color="auto" w:fill="auto"/>
            <w:noWrap/>
            <w:vAlign w:val="bottom"/>
            <w:hideMark/>
          </w:tcPr>
          <w:p w14:paraId="0278D036" w14:textId="2D8679A4"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auto" w:fill="auto"/>
            <w:noWrap/>
            <w:vAlign w:val="bottom"/>
            <w:hideMark/>
          </w:tcPr>
          <w:p w14:paraId="6FD84D87"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auto" w:fill="auto"/>
            <w:noWrap/>
            <w:vAlign w:val="bottom"/>
            <w:hideMark/>
          </w:tcPr>
          <w:p w14:paraId="582330CD"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30.0</w:t>
            </w:r>
          </w:p>
        </w:tc>
        <w:tc>
          <w:tcPr>
            <w:tcW w:w="678" w:type="dxa"/>
            <w:tcBorders>
              <w:top w:val="nil"/>
              <w:left w:val="nil"/>
              <w:bottom w:val="single" w:sz="4" w:space="0" w:color="auto"/>
              <w:right w:val="single" w:sz="4" w:space="0" w:color="auto"/>
            </w:tcBorders>
            <w:shd w:val="clear" w:color="auto" w:fill="auto"/>
            <w:noWrap/>
            <w:vAlign w:val="bottom"/>
            <w:hideMark/>
          </w:tcPr>
          <w:p w14:paraId="59140382"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767" w:type="dxa"/>
            <w:tcBorders>
              <w:top w:val="nil"/>
              <w:left w:val="nil"/>
              <w:bottom w:val="single" w:sz="4" w:space="0" w:color="auto"/>
              <w:right w:val="single" w:sz="4" w:space="0" w:color="auto"/>
            </w:tcBorders>
            <w:shd w:val="clear" w:color="auto" w:fill="auto"/>
            <w:noWrap/>
            <w:vAlign w:val="bottom"/>
            <w:hideMark/>
          </w:tcPr>
          <w:p w14:paraId="6FD786AA"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auto" w:fill="auto"/>
            <w:noWrap/>
            <w:vAlign w:val="bottom"/>
            <w:hideMark/>
          </w:tcPr>
          <w:p w14:paraId="3A560BF0"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auto" w:fill="auto"/>
            <w:noWrap/>
            <w:vAlign w:val="bottom"/>
            <w:hideMark/>
          </w:tcPr>
          <w:p w14:paraId="1214CA7C"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auto" w:fill="auto"/>
            <w:noWrap/>
            <w:vAlign w:val="bottom"/>
            <w:hideMark/>
          </w:tcPr>
          <w:p w14:paraId="42A8B7C9"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27.8</w:t>
            </w:r>
          </w:p>
        </w:tc>
      </w:tr>
      <w:tr w:rsidR="0019056A" w:rsidRPr="00BF60DC" w14:paraId="34BC7FB1" w14:textId="77777777" w:rsidTr="00907842">
        <w:trPr>
          <w:trHeight w:val="70"/>
          <w:jc w:val="center"/>
        </w:trPr>
        <w:tc>
          <w:tcPr>
            <w:tcW w:w="678" w:type="dxa"/>
            <w:tcBorders>
              <w:top w:val="nil"/>
              <w:left w:val="single" w:sz="4" w:space="0" w:color="auto"/>
              <w:bottom w:val="single" w:sz="4" w:space="0" w:color="auto"/>
              <w:right w:val="single" w:sz="4" w:space="0" w:color="auto"/>
            </w:tcBorders>
          </w:tcPr>
          <w:p w14:paraId="4BEE61AE" w14:textId="61042FA6"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PC2</w:t>
            </w:r>
          </w:p>
        </w:tc>
        <w:tc>
          <w:tcPr>
            <w:tcW w:w="678" w:type="dxa"/>
            <w:tcBorders>
              <w:top w:val="nil"/>
              <w:left w:val="single" w:sz="4" w:space="0" w:color="auto"/>
              <w:bottom w:val="single" w:sz="4" w:space="0" w:color="auto"/>
              <w:right w:val="single" w:sz="4" w:space="0" w:color="auto"/>
            </w:tcBorders>
          </w:tcPr>
          <w:p w14:paraId="13263272" w14:textId="5F97CE16"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PC2</w:t>
            </w:r>
          </w:p>
        </w:tc>
        <w:tc>
          <w:tcPr>
            <w:tcW w:w="678" w:type="dxa"/>
            <w:tcBorders>
              <w:top w:val="nil"/>
              <w:left w:val="single" w:sz="4" w:space="0" w:color="auto"/>
              <w:bottom w:val="single" w:sz="4" w:space="0" w:color="auto"/>
              <w:right w:val="single" w:sz="4" w:space="0" w:color="auto"/>
            </w:tcBorders>
            <w:shd w:val="clear" w:color="auto" w:fill="auto"/>
            <w:noWrap/>
            <w:vAlign w:val="bottom"/>
            <w:hideMark/>
          </w:tcPr>
          <w:p w14:paraId="457724A2" w14:textId="6E479A11"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auto" w:fill="auto"/>
            <w:noWrap/>
            <w:vAlign w:val="bottom"/>
            <w:hideMark/>
          </w:tcPr>
          <w:p w14:paraId="06C5422E"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auto" w:fill="auto"/>
            <w:noWrap/>
            <w:vAlign w:val="bottom"/>
            <w:hideMark/>
          </w:tcPr>
          <w:p w14:paraId="5888A4B1"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29.0</w:t>
            </w:r>
          </w:p>
        </w:tc>
        <w:tc>
          <w:tcPr>
            <w:tcW w:w="678" w:type="dxa"/>
            <w:tcBorders>
              <w:top w:val="nil"/>
              <w:left w:val="nil"/>
              <w:bottom w:val="single" w:sz="4" w:space="0" w:color="auto"/>
              <w:right w:val="single" w:sz="4" w:space="0" w:color="auto"/>
            </w:tcBorders>
            <w:shd w:val="clear" w:color="auto" w:fill="auto"/>
            <w:noWrap/>
            <w:vAlign w:val="bottom"/>
            <w:hideMark/>
          </w:tcPr>
          <w:p w14:paraId="0D230D2B"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767" w:type="dxa"/>
            <w:tcBorders>
              <w:top w:val="nil"/>
              <w:left w:val="nil"/>
              <w:bottom w:val="single" w:sz="4" w:space="0" w:color="auto"/>
              <w:right w:val="single" w:sz="4" w:space="0" w:color="auto"/>
            </w:tcBorders>
            <w:shd w:val="clear" w:color="auto" w:fill="auto"/>
            <w:noWrap/>
            <w:vAlign w:val="bottom"/>
            <w:hideMark/>
          </w:tcPr>
          <w:p w14:paraId="14BCEF8F"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auto" w:fill="auto"/>
            <w:noWrap/>
            <w:vAlign w:val="bottom"/>
            <w:hideMark/>
          </w:tcPr>
          <w:p w14:paraId="2F3EF89F"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auto" w:fill="auto"/>
            <w:noWrap/>
            <w:vAlign w:val="bottom"/>
            <w:hideMark/>
          </w:tcPr>
          <w:p w14:paraId="1DD4C408"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auto" w:fill="auto"/>
            <w:noWrap/>
            <w:vAlign w:val="bottom"/>
            <w:hideMark/>
          </w:tcPr>
          <w:p w14:paraId="06711956"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27.8</w:t>
            </w:r>
          </w:p>
        </w:tc>
      </w:tr>
      <w:tr w:rsidR="0019056A" w:rsidRPr="00BF60DC" w14:paraId="64B5B518" w14:textId="77777777" w:rsidTr="00907842">
        <w:trPr>
          <w:trHeight w:val="70"/>
          <w:jc w:val="center"/>
        </w:trPr>
        <w:tc>
          <w:tcPr>
            <w:tcW w:w="678" w:type="dxa"/>
            <w:tcBorders>
              <w:top w:val="nil"/>
              <w:left w:val="single" w:sz="4" w:space="0" w:color="auto"/>
              <w:bottom w:val="single" w:sz="4" w:space="0" w:color="auto"/>
              <w:right w:val="single" w:sz="4" w:space="0" w:color="auto"/>
            </w:tcBorders>
          </w:tcPr>
          <w:p w14:paraId="6B587DD5" w14:textId="77CD92E6"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PC2</w:t>
            </w:r>
          </w:p>
        </w:tc>
        <w:tc>
          <w:tcPr>
            <w:tcW w:w="678" w:type="dxa"/>
            <w:tcBorders>
              <w:top w:val="nil"/>
              <w:left w:val="single" w:sz="4" w:space="0" w:color="auto"/>
              <w:bottom w:val="single" w:sz="4" w:space="0" w:color="auto"/>
              <w:right w:val="single" w:sz="4" w:space="0" w:color="auto"/>
            </w:tcBorders>
          </w:tcPr>
          <w:p w14:paraId="3CE04C90" w14:textId="5DCA0F03"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w:t>
            </w:r>
          </w:p>
        </w:tc>
        <w:tc>
          <w:tcPr>
            <w:tcW w:w="678" w:type="dxa"/>
            <w:tcBorders>
              <w:top w:val="nil"/>
              <w:left w:val="single" w:sz="4" w:space="0" w:color="auto"/>
              <w:bottom w:val="single" w:sz="4" w:space="0" w:color="auto"/>
              <w:right w:val="single" w:sz="4" w:space="0" w:color="auto"/>
            </w:tcBorders>
            <w:shd w:val="clear" w:color="auto" w:fill="auto"/>
            <w:noWrap/>
            <w:vAlign w:val="bottom"/>
            <w:hideMark/>
          </w:tcPr>
          <w:p w14:paraId="4A040E25" w14:textId="3B69F7E9"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auto" w:fill="auto"/>
            <w:noWrap/>
            <w:vAlign w:val="bottom"/>
            <w:hideMark/>
          </w:tcPr>
          <w:p w14:paraId="189F6CE6"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auto" w:fill="auto"/>
            <w:noWrap/>
            <w:vAlign w:val="bottom"/>
            <w:hideMark/>
          </w:tcPr>
          <w:p w14:paraId="372163A9"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30.8</w:t>
            </w:r>
          </w:p>
        </w:tc>
        <w:tc>
          <w:tcPr>
            <w:tcW w:w="678" w:type="dxa"/>
            <w:tcBorders>
              <w:top w:val="nil"/>
              <w:left w:val="nil"/>
              <w:bottom w:val="single" w:sz="4" w:space="0" w:color="auto"/>
              <w:right w:val="single" w:sz="4" w:space="0" w:color="auto"/>
            </w:tcBorders>
            <w:shd w:val="clear" w:color="auto" w:fill="auto"/>
            <w:noWrap/>
            <w:vAlign w:val="bottom"/>
            <w:hideMark/>
          </w:tcPr>
          <w:p w14:paraId="16F91567"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767" w:type="dxa"/>
            <w:tcBorders>
              <w:top w:val="nil"/>
              <w:left w:val="nil"/>
              <w:bottom w:val="single" w:sz="4" w:space="0" w:color="auto"/>
              <w:right w:val="single" w:sz="4" w:space="0" w:color="auto"/>
            </w:tcBorders>
            <w:shd w:val="clear" w:color="auto" w:fill="auto"/>
            <w:noWrap/>
            <w:vAlign w:val="bottom"/>
            <w:hideMark/>
          </w:tcPr>
          <w:p w14:paraId="6CB6BD13"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auto" w:fill="auto"/>
            <w:noWrap/>
            <w:vAlign w:val="bottom"/>
            <w:hideMark/>
          </w:tcPr>
          <w:p w14:paraId="398065A2"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auto" w:fill="auto"/>
            <w:noWrap/>
            <w:vAlign w:val="bottom"/>
            <w:hideMark/>
          </w:tcPr>
          <w:p w14:paraId="0DC7C8B4"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auto" w:fill="auto"/>
            <w:noWrap/>
            <w:vAlign w:val="bottom"/>
            <w:hideMark/>
          </w:tcPr>
          <w:p w14:paraId="446B547E" w14:textId="77777777" w:rsidR="0019056A" w:rsidRPr="00BF60DC" w:rsidRDefault="0019056A" w:rsidP="00907842">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27.8</w:t>
            </w:r>
          </w:p>
        </w:tc>
      </w:tr>
    </w:tbl>
    <w:p w14:paraId="306D9669" w14:textId="77777777" w:rsidR="00BF60DC" w:rsidRDefault="00BF60DC" w:rsidP="00D72A83">
      <w:pPr>
        <w:spacing w:after="0"/>
        <w:rPr>
          <w:rFonts w:eastAsia="SimSun"/>
          <w:b/>
          <w:lang w:eastAsia="zh-CN"/>
        </w:rPr>
      </w:pPr>
    </w:p>
    <w:p w14:paraId="58017301" w14:textId="053C0B63" w:rsidR="00D72A83" w:rsidRDefault="00BF60DC" w:rsidP="00D72A83">
      <w:pPr>
        <w:spacing w:after="0"/>
        <w:rPr>
          <w:rFonts w:eastAsia="SimSun"/>
          <w:b/>
          <w:lang w:eastAsia="zh-CN"/>
        </w:rPr>
      </w:pPr>
      <w:r>
        <w:rPr>
          <w:rFonts w:eastAsia="SimSun"/>
          <w:b/>
          <w:lang w:eastAsia="zh-CN"/>
        </w:rPr>
        <w:t>Observation</w:t>
      </w:r>
      <w:r w:rsidR="00A44102">
        <w:rPr>
          <w:rFonts w:eastAsia="SimSun"/>
          <w:b/>
          <w:lang w:eastAsia="zh-CN"/>
        </w:rPr>
        <w:t>s</w:t>
      </w:r>
      <w:r>
        <w:rPr>
          <w:rFonts w:eastAsia="SimSun"/>
          <w:b/>
          <w:lang w:eastAsia="zh-CN"/>
        </w:rPr>
        <w:t>:</w:t>
      </w:r>
    </w:p>
    <w:p w14:paraId="300FA5B9" w14:textId="289FDB5C" w:rsidR="00DC7410" w:rsidRDefault="00804CC5" w:rsidP="00DC7410">
      <w:pPr>
        <w:pStyle w:val="ListParagraph"/>
        <w:numPr>
          <w:ilvl w:val="0"/>
          <w:numId w:val="30"/>
        </w:numPr>
        <w:spacing w:after="0"/>
        <w:rPr>
          <w:b/>
          <w:lang w:eastAsia="zh-CN"/>
        </w:rPr>
      </w:pPr>
      <w:r>
        <w:rPr>
          <w:b/>
          <w:lang w:eastAsia="zh-CN"/>
        </w:rPr>
        <w:t>As can be seen from the table above there are two possibilities for a total reachable output power that is &gt; 26dBm and thus an increased power option for PC2</w:t>
      </w:r>
      <w:r w:rsidR="0019056A">
        <w:rPr>
          <w:b/>
          <w:lang w:eastAsia="zh-CN"/>
        </w:rPr>
        <w:t>: 27dBm or 27.8dBm i.e., 1dB or 1.8dB power increase</w:t>
      </w:r>
      <w:r w:rsidR="000B26E8">
        <w:rPr>
          <w:b/>
          <w:lang w:eastAsia="zh-CN"/>
        </w:rPr>
        <w:t xml:space="preserve"> exists</w:t>
      </w:r>
    </w:p>
    <w:p w14:paraId="084C8417" w14:textId="678DE214" w:rsidR="00804CC5" w:rsidRDefault="00907842" w:rsidP="00DC7410">
      <w:pPr>
        <w:pStyle w:val="ListParagraph"/>
        <w:numPr>
          <w:ilvl w:val="0"/>
          <w:numId w:val="30"/>
        </w:numPr>
        <w:spacing w:after="0"/>
        <w:rPr>
          <w:b/>
          <w:lang w:eastAsia="zh-CN"/>
        </w:rPr>
      </w:pPr>
      <w:r>
        <w:rPr>
          <w:b/>
          <w:lang w:eastAsia="zh-CN"/>
        </w:rPr>
        <w:t>The first 3 row</w:t>
      </w:r>
      <w:r w:rsidR="000B26E8">
        <w:rPr>
          <w:b/>
          <w:lang w:eastAsia="zh-CN"/>
        </w:rPr>
        <w:t>s</w:t>
      </w:r>
      <w:r>
        <w:rPr>
          <w:b/>
          <w:lang w:eastAsia="zh-CN"/>
        </w:rPr>
        <w:t xml:space="preserve"> corresponding to the 27dBm reachable power are assuming NR-U as </w:t>
      </w:r>
      <w:r w:rsidR="002C7902">
        <w:rPr>
          <w:b/>
          <w:lang w:eastAsia="zh-CN"/>
        </w:rPr>
        <w:t xml:space="preserve">first </w:t>
      </w:r>
      <w:r>
        <w:rPr>
          <w:b/>
          <w:lang w:eastAsia="zh-CN"/>
        </w:rPr>
        <w:t xml:space="preserve">band and the row highlighted in yellow would only apply to a NR-U band 1 using 2Tx with two 20dBm PAs which </w:t>
      </w:r>
      <w:r w:rsidR="000B26E8">
        <w:rPr>
          <w:b/>
          <w:lang w:eastAsia="zh-CN"/>
        </w:rPr>
        <w:t xml:space="preserve">has </w:t>
      </w:r>
      <w:r>
        <w:rPr>
          <w:b/>
          <w:lang w:eastAsia="zh-CN"/>
        </w:rPr>
        <w:t xml:space="preserve">not yet </w:t>
      </w:r>
      <w:r w:rsidR="000B26E8">
        <w:rPr>
          <w:b/>
          <w:lang w:eastAsia="zh-CN"/>
        </w:rPr>
        <w:t xml:space="preserve">been </w:t>
      </w:r>
      <w:r>
        <w:rPr>
          <w:b/>
          <w:lang w:eastAsia="zh-CN"/>
        </w:rPr>
        <w:t>a specified combination in Release 17</w:t>
      </w:r>
      <w:r w:rsidR="000B26E8">
        <w:rPr>
          <w:b/>
          <w:lang w:eastAsia="zh-CN"/>
        </w:rPr>
        <w:t>.</w:t>
      </w:r>
    </w:p>
    <w:p w14:paraId="7CA1ADF5" w14:textId="4C3352A5" w:rsidR="00951B62" w:rsidRDefault="00DC7410" w:rsidP="00951B62">
      <w:pPr>
        <w:pStyle w:val="Heading2"/>
        <w:spacing w:after="240"/>
        <w:rPr>
          <w:lang w:eastAsia="zh-CN"/>
        </w:rPr>
      </w:pPr>
      <w:r>
        <w:rPr>
          <w:lang w:eastAsia="zh-CN"/>
        </w:rPr>
        <w:t xml:space="preserve">Proposal on </w:t>
      </w:r>
      <w:r w:rsidR="00615A42">
        <w:rPr>
          <w:lang w:eastAsia="zh-CN"/>
        </w:rPr>
        <w:t xml:space="preserve">valid increased power cases and </w:t>
      </w:r>
      <w:r>
        <w:rPr>
          <w:lang w:eastAsia="zh-CN"/>
        </w:rPr>
        <w:t>signalling</w:t>
      </w:r>
    </w:p>
    <w:p w14:paraId="65E9BC64" w14:textId="61C70171" w:rsidR="00233402" w:rsidRDefault="00A44102" w:rsidP="002A3E7C">
      <w:pPr>
        <w:spacing w:after="0"/>
        <w:rPr>
          <w:lang w:eastAsia="zh-CN"/>
        </w:rPr>
      </w:pPr>
      <w:r>
        <w:rPr>
          <w:lang w:eastAsia="zh-CN"/>
        </w:rPr>
        <w:t xml:space="preserve">To </w:t>
      </w:r>
      <w:r w:rsidR="00907842">
        <w:rPr>
          <w:lang w:eastAsia="zh-CN"/>
        </w:rPr>
        <w:t xml:space="preserve">enable all the cases with 1Tx and 2Tx and have a future proof solution, </w:t>
      </w:r>
      <w:r w:rsidR="004665B0">
        <w:rPr>
          <w:lang w:eastAsia="zh-CN"/>
        </w:rPr>
        <w:t>the most straight</w:t>
      </w:r>
      <w:r w:rsidR="000B26E8">
        <w:rPr>
          <w:lang w:eastAsia="zh-CN"/>
        </w:rPr>
        <w:t>-</w:t>
      </w:r>
      <w:r w:rsidR="004665B0">
        <w:rPr>
          <w:lang w:eastAsia="zh-CN"/>
        </w:rPr>
        <w:t>forward</w:t>
      </w:r>
      <w:r>
        <w:rPr>
          <w:lang w:eastAsia="zh-CN"/>
        </w:rPr>
        <w:t xml:space="preserve"> </w:t>
      </w:r>
      <w:r w:rsidR="000B26E8">
        <w:rPr>
          <w:lang w:eastAsia="zh-CN"/>
        </w:rPr>
        <w:t xml:space="preserve">option </w:t>
      </w:r>
      <w:r>
        <w:rPr>
          <w:lang w:eastAsia="zh-CN"/>
        </w:rPr>
        <w:t xml:space="preserve">is that additional signaling for a per band power class in inter-band CA configuration is introduced in </w:t>
      </w:r>
      <w:r w:rsidR="004665B0">
        <w:rPr>
          <w:lang w:eastAsia="zh-CN"/>
        </w:rPr>
        <w:t>R</w:t>
      </w:r>
      <w:r>
        <w:rPr>
          <w:lang w:eastAsia="zh-CN"/>
        </w:rPr>
        <w:t>elease 17</w:t>
      </w:r>
      <w:r w:rsidR="00907842">
        <w:rPr>
          <w:lang w:eastAsia="zh-CN"/>
        </w:rPr>
        <w:t xml:space="preserve"> which works for both NR-U and NR cases</w:t>
      </w:r>
      <w:r>
        <w:rPr>
          <w:lang w:eastAsia="zh-CN"/>
        </w:rPr>
        <w:t>.</w:t>
      </w:r>
    </w:p>
    <w:p w14:paraId="01EB7938" w14:textId="77777777" w:rsidR="006D0E1E" w:rsidRDefault="006D0E1E" w:rsidP="002A3E7C">
      <w:pPr>
        <w:spacing w:after="0"/>
        <w:rPr>
          <w:lang w:eastAsia="zh-CN"/>
        </w:rPr>
      </w:pPr>
    </w:p>
    <w:p w14:paraId="6ADDE13D" w14:textId="54A8D1DA" w:rsidR="00615A42" w:rsidRDefault="00615A42" w:rsidP="00615A42">
      <w:pPr>
        <w:spacing w:after="0"/>
        <w:rPr>
          <w:b/>
          <w:lang w:eastAsia="zh-CN"/>
        </w:rPr>
      </w:pPr>
      <w:r w:rsidRPr="006D0E1E">
        <w:rPr>
          <w:rFonts w:eastAsia="SimSun"/>
          <w:b/>
          <w:lang w:eastAsia="zh-CN"/>
        </w:rPr>
        <w:t xml:space="preserve">Proposal for </w:t>
      </w:r>
      <w:r>
        <w:rPr>
          <w:rFonts w:eastAsia="SimSun"/>
          <w:b/>
          <w:lang w:eastAsia="zh-CN"/>
        </w:rPr>
        <w:t>valid configuration for increased power</w:t>
      </w:r>
      <w:r w:rsidRPr="006D0E1E">
        <w:rPr>
          <w:rFonts w:eastAsia="SimSun"/>
          <w:b/>
          <w:lang w:eastAsia="zh-CN"/>
        </w:rPr>
        <w:t xml:space="preserve">: </w:t>
      </w:r>
      <w:r w:rsidRPr="00A44102">
        <w:rPr>
          <w:b/>
          <w:lang w:eastAsia="zh-CN"/>
        </w:rPr>
        <w:t>UL configuration</w:t>
      </w:r>
      <w:r>
        <w:rPr>
          <w:b/>
          <w:lang w:eastAsia="zh-CN"/>
        </w:rPr>
        <w:t>s</w:t>
      </w:r>
      <w:r w:rsidRPr="00A44102">
        <w:rPr>
          <w:b/>
          <w:lang w:eastAsia="zh-CN"/>
        </w:rPr>
        <w:t xml:space="preserve"> valid for increased power are those for which the power sum of the per</w:t>
      </w:r>
      <w:r w:rsidR="00D30347">
        <w:rPr>
          <w:b/>
          <w:lang w:eastAsia="zh-CN"/>
        </w:rPr>
        <w:t xml:space="preserve"> UL </w:t>
      </w:r>
      <w:r w:rsidRPr="00A44102">
        <w:rPr>
          <w:b/>
          <w:lang w:eastAsia="zh-CN"/>
        </w:rPr>
        <w:t>band power class in inter-band CA configuration is &gt; CA power class and &lt; CA power class + 2dB</w:t>
      </w:r>
      <w:r>
        <w:rPr>
          <w:b/>
          <w:lang w:eastAsia="zh-CN"/>
        </w:rPr>
        <w:t>.</w:t>
      </w:r>
    </w:p>
    <w:p w14:paraId="4E2D286F" w14:textId="77777777" w:rsidR="00615A42" w:rsidRDefault="00615A42" w:rsidP="006D0E1E">
      <w:pPr>
        <w:spacing w:after="0"/>
        <w:rPr>
          <w:rFonts w:eastAsia="SimSun"/>
          <w:b/>
          <w:lang w:eastAsia="zh-CN"/>
        </w:rPr>
      </w:pPr>
    </w:p>
    <w:p w14:paraId="02A6F713" w14:textId="6B876FA2" w:rsidR="00503472" w:rsidRDefault="006D0E1E" w:rsidP="006D0E1E">
      <w:pPr>
        <w:spacing w:after="0"/>
        <w:rPr>
          <w:rFonts w:eastAsia="SimSun"/>
          <w:b/>
          <w:lang w:eastAsia="zh-CN"/>
        </w:rPr>
      </w:pPr>
      <w:r w:rsidRPr="006D0E1E">
        <w:rPr>
          <w:rFonts w:eastAsia="SimSun"/>
          <w:b/>
          <w:lang w:eastAsia="zh-CN"/>
        </w:rPr>
        <w:t xml:space="preserve">Proposal for </w:t>
      </w:r>
      <w:r w:rsidR="00A44102">
        <w:rPr>
          <w:rFonts w:eastAsia="SimSun"/>
          <w:b/>
          <w:lang w:eastAsia="zh-CN"/>
        </w:rPr>
        <w:t>signaling</w:t>
      </w:r>
      <w:r w:rsidRPr="006D0E1E">
        <w:rPr>
          <w:rFonts w:eastAsia="SimSun"/>
          <w:b/>
          <w:lang w:eastAsia="zh-CN"/>
        </w:rPr>
        <w:t>:</w:t>
      </w:r>
    </w:p>
    <w:p w14:paraId="12A0F676" w14:textId="0F52D8D4" w:rsidR="00615A42" w:rsidRPr="00B676B6" w:rsidRDefault="00615A42" w:rsidP="00615A42">
      <w:pPr>
        <w:pStyle w:val="ListParagraph"/>
        <w:numPr>
          <w:ilvl w:val="0"/>
          <w:numId w:val="32"/>
        </w:numPr>
        <w:spacing w:after="0"/>
        <w:rPr>
          <w:b/>
          <w:lang w:eastAsia="zh-CN"/>
        </w:rPr>
      </w:pPr>
      <w:r>
        <w:rPr>
          <w:b/>
          <w:lang w:eastAsia="zh-CN"/>
        </w:rPr>
        <w:t>An optional UE capability for increased power is introduced in Release 17</w:t>
      </w:r>
    </w:p>
    <w:p w14:paraId="507573DC" w14:textId="30140BCE" w:rsidR="00A44102" w:rsidRDefault="00A44102" w:rsidP="00A44102">
      <w:pPr>
        <w:pStyle w:val="ListParagraph"/>
        <w:numPr>
          <w:ilvl w:val="0"/>
          <w:numId w:val="32"/>
        </w:numPr>
        <w:spacing w:after="0"/>
        <w:rPr>
          <w:b/>
          <w:lang w:eastAsia="zh-CN"/>
        </w:rPr>
      </w:pPr>
      <w:r>
        <w:rPr>
          <w:b/>
          <w:lang w:eastAsia="zh-CN"/>
        </w:rPr>
        <w:lastRenderedPageBreak/>
        <w:t>A</w:t>
      </w:r>
      <w:r w:rsidRPr="00A44102">
        <w:rPr>
          <w:b/>
          <w:lang w:eastAsia="zh-CN"/>
        </w:rPr>
        <w:t xml:space="preserve"> </w:t>
      </w:r>
      <w:bookmarkStart w:id="2" w:name="_Hlk100928226"/>
      <w:r w:rsidRPr="00A44102">
        <w:rPr>
          <w:b/>
          <w:lang w:eastAsia="zh-CN"/>
        </w:rPr>
        <w:t xml:space="preserve">per UL band power class in inter-band CA configuration </w:t>
      </w:r>
      <w:bookmarkEnd w:id="2"/>
      <w:r w:rsidRPr="00A44102">
        <w:rPr>
          <w:b/>
          <w:lang w:eastAsia="zh-CN"/>
        </w:rPr>
        <w:t>is introdu</w:t>
      </w:r>
      <w:r>
        <w:rPr>
          <w:b/>
          <w:lang w:eastAsia="zh-CN"/>
        </w:rPr>
        <w:t xml:space="preserve">ced in </w:t>
      </w:r>
      <w:r w:rsidR="004665B0">
        <w:rPr>
          <w:b/>
          <w:lang w:eastAsia="zh-CN"/>
        </w:rPr>
        <w:t>R</w:t>
      </w:r>
      <w:r>
        <w:rPr>
          <w:b/>
          <w:lang w:eastAsia="zh-CN"/>
        </w:rPr>
        <w:t>elease 17</w:t>
      </w:r>
      <w:r w:rsidR="00615A42">
        <w:rPr>
          <w:b/>
          <w:lang w:eastAsia="zh-CN"/>
        </w:rPr>
        <w:t xml:space="preserve"> that can serve for PC2 inter-band CA with or without increased power capability but can later support any combinations including 3Tx cases</w:t>
      </w:r>
    </w:p>
    <w:p w14:paraId="2032EB51" w14:textId="0E06CCAA" w:rsidR="00907842" w:rsidRPr="00A44102" w:rsidRDefault="00907842" w:rsidP="00A44102">
      <w:pPr>
        <w:pStyle w:val="ListParagraph"/>
        <w:numPr>
          <w:ilvl w:val="0"/>
          <w:numId w:val="32"/>
        </w:numPr>
        <w:spacing w:after="0"/>
        <w:rPr>
          <w:b/>
          <w:lang w:eastAsia="zh-CN"/>
        </w:rPr>
      </w:pPr>
      <w:r>
        <w:rPr>
          <w:b/>
          <w:lang w:eastAsia="zh-CN"/>
        </w:rPr>
        <w:t>The increased power is calculated as the difference</w:t>
      </w:r>
      <w:r w:rsidR="00615A42">
        <w:rPr>
          <w:b/>
          <w:lang w:eastAsia="zh-CN"/>
        </w:rPr>
        <w:t xml:space="preserve"> between</w:t>
      </w:r>
      <w:r>
        <w:rPr>
          <w:b/>
          <w:lang w:eastAsia="zh-CN"/>
        </w:rPr>
        <w:t xml:space="preserve"> the power sum of the </w:t>
      </w:r>
      <w:r w:rsidR="00615A42">
        <w:rPr>
          <w:b/>
          <w:lang w:eastAsia="zh-CN"/>
        </w:rPr>
        <w:t xml:space="preserve">declared </w:t>
      </w:r>
      <w:r>
        <w:rPr>
          <w:b/>
          <w:lang w:eastAsia="zh-CN"/>
        </w:rPr>
        <w:t>per UL power class</w:t>
      </w:r>
      <w:r w:rsidR="00615A42">
        <w:rPr>
          <w:b/>
          <w:lang w:eastAsia="zh-CN"/>
        </w:rPr>
        <w:t xml:space="preserve"> and the declared inter-band power class</w:t>
      </w:r>
    </w:p>
    <w:p w14:paraId="36F4C941" w14:textId="21C1D847" w:rsidR="006D0E1E" w:rsidRDefault="00A44102" w:rsidP="00503472">
      <w:pPr>
        <w:pStyle w:val="ListParagraph"/>
        <w:numPr>
          <w:ilvl w:val="0"/>
          <w:numId w:val="32"/>
        </w:numPr>
        <w:spacing w:after="0"/>
        <w:rPr>
          <w:b/>
          <w:lang w:eastAsia="zh-CN"/>
        </w:rPr>
      </w:pPr>
      <w:r>
        <w:rPr>
          <w:b/>
          <w:lang w:eastAsia="zh-CN"/>
        </w:rPr>
        <w:t xml:space="preserve">For UL band where the single band power class can only be achieved with 2 Tx, the per </w:t>
      </w:r>
      <w:r w:rsidR="00615A42">
        <w:rPr>
          <w:b/>
          <w:lang w:eastAsia="zh-CN"/>
        </w:rPr>
        <w:t xml:space="preserve">UL </w:t>
      </w:r>
      <w:r>
        <w:rPr>
          <w:b/>
          <w:lang w:eastAsia="zh-CN"/>
        </w:rPr>
        <w:t xml:space="preserve">band power </w:t>
      </w:r>
      <w:r w:rsidRPr="00A44102">
        <w:rPr>
          <w:b/>
          <w:lang w:eastAsia="zh-CN"/>
        </w:rPr>
        <w:t xml:space="preserve">class in inter-band CA configuration </w:t>
      </w:r>
      <w:r>
        <w:rPr>
          <w:b/>
          <w:lang w:eastAsia="zh-CN"/>
        </w:rPr>
        <w:t>should signal a power class equivalent to its single band power class -3dB</w:t>
      </w:r>
      <w:r w:rsidR="004665B0">
        <w:rPr>
          <w:b/>
          <w:lang w:eastAsia="zh-CN"/>
        </w:rPr>
        <w:t>.</w:t>
      </w:r>
    </w:p>
    <w:p w14:paraId="5B0F5E16" w14:textId="7FE22782" w:rsidR="006D0E1E" w:rsidRDefault="006D0E1E" w:rsidP="006D0E1E">
      <w:pPr>
        <w:spacing w:after="0"/>
        <w:rPr>
          <w:rFonts w:eastAsia="SimSun"/>
          <w:b/>
          <w:lang w:eastAsia="zh-CN"/>
        </w:rPr>
      </w:pPr>
    </w:p>
    <w:p w14:paraId="558DD71B" w14:textId="77777777" w:rsidR="001364B1" w:rsidRDefault="00615A42" w:rsidP="006D0E1E">
      <w:pPr>
        <w:spacing w:after="0"/>
        <w:rPr>
          <w:rFonts w:eastAsia="SimSun"/>
          <w:bCs/>
          <w:lang w:eastAsia="zh-CN"/>
        </w:rPr>
      </w:pPr>
      <w:r w:rsidRPr="005A6FCF">
        <w:rPr>
          <w:rFonts w:eastAsia="SimSun"/>
          <w:bCs/>
          <w:lang w:eastAsia="zh-CN"/>
        </w:rPr>
        <w:t>Such approach is scalable and does not require the introduction of “in between</w:t>
      </w:r>
      <w:r w:rsidR="005A6FCF" w:rsidRPr="005A6FCF">
        <w:rPr>
          <w:rFonts w:eastAsia="SimSun"/>
          <w:bCs/>
          <w:lang w:eastAsia="zh-CN"/>
        </w:rPr>
        <w:t>”</w:t>
      </w:r>
      <w:r w:rsidRPr="005A6FCF">
        <w:rPr>
          <w:rFonts w:eastAsia="SimSun"/>
          <w:bCs/>
          <w:lang w:eastAsia="zh-CN"/>
        </w:rPr>
        <w:t xml:space="preserve"> power classes</w:t>
      </w:r>
      <w:r w:rsidR="005A6FCF">
        <w:rPr>
          <w:rFonts w:eastAsia="SimSun"/>
          <w:bCs/>
          <w:lang w:eastAsia="zh-CN"/>
        </w:rPr>
        <w:t>. It can also be used to clarify</w:t>
      </w:r>
      <w:r w:rsidR="00EE4AF2">
        <w:rPr>
          <w:rFonts w:eastAsia="SimSun"/>
          <w:bCs/>
          <w:lang w:eastAsia="zh-CN"/>
        </w:rPr>
        <w:t xml:space="preserve"> </w:t>
      </w:r>
      <w:r w:rsidR="005A6FCF">
        <w:rPr>
          <w:rFonts w:eastAsia="SimSun"/>
          <w:bCs/>
          <w:lang w:eastAsia="zh-CN"/>
        </w:rPr>
        <w:t xml:space="preserve">the applicable maximum power for different UL configurations of an inter-band PC2 band </w:t>
      </w:r>
      <w:r w:rsidR="00EE4AF2">
        <w:rPr>
          <w:rFonts w:eastAsia="SimSun"/>
          <w:bCs/>
          <w:lang w:eastAsia="zh-CN"/>
        </w:rPr>
        <w:t xml:space="preserve">combination. </w:t>
      </w:r>
    </w:p>
    <w:p w14:paraId="3F14F557" w14:textId="77777777" w:rsidR="001364B1" w:rsidRDefault="001364B1" w:rsidP="006D0E1E">
      <w:pPr>
        <w:spacing w:after="0"/>
        <w:rPr>
          <w:rFonts w:eastAsia="SimSun"/>
          <w:bCs/>
          <w:lang w:eastAsia="zh-CN"/>
        </w:rPr>
      </w:pPr>
    </w:p>
    <w:p w14:paraId="2212A8FB" w14:textId="0A9896DE" w:rsidR="00615A42" w:rsidRDefault="00EE4AF2" w:rsidP="006D0E1E">
      <w:pPr>
        <w:spacing w:after="0"/>
        <w:rPr>
          <w:rFonts w:eastAsia="SimSun"/>
          <w:bCs/>
          <w:lang w:eastAsia="zh-CN"/>
        </w:rPr>
      </w:pPr>
      <w:r>
        <w:rPr>
          <w:rFonts w:eastAsia="SimSun"/>
          <w:bCs/>
          <w:lang w:eastAsia="zh-CN"/>
        </w:rPr>
        <w:t xml:space="preserve">As an </w:t>
      </w:r>
      <w:r w:rsidR="001364B1">
        <w:rPr>
          <w:rFonts w:eastAsia="SimSun"/>
          <w:bCs/>
          <w:lang w:eastAsia="zh-CN"/>
        </w:rPr>
        <w:t>example,</w:t>
      </w:r>
      <w:r>
        <w:rPr>
          <w:rFonts w:eastAsia="SimSun"/>
          <w:bCs/>
          <w:lang w:eastAsia="zh-CN"/>
        </w:rPr>
        <w:t xml:space="preserve"> </w:t>
      </w:r>
      <w:r w:rsidR="001364B1">
        <w:rPr>
          <w:rFonts w:eastAsia="SimSun"/>
          <w:bCs/>
          <w:lang w:eastAsia="zh-CN"/>
        </w:rPr>
        <w:t>for PC2 CA_n41A-n77A the following UL configurations and power class can apply:</w:t>
      </w:r>
    </w:p>
    <w:p w14:paraId="070B2955" w14:textId="0B169FA4" w:rsidR="001364B1" w:rsidRDefault="001364B1" w:rsidP="001364B1">
      <w:pPr>
        <w:pStyle w:val="ListParagraph"/>
        <w:numPr>
          <w:ilvl w:val="0"/>
          <w:numId w:val="34"/>
        </w:numPr>
        <w:spacing w:after="0"/>
        <w:rPr>
          <w:bCs/>
          <w:lang w:eastAsia="zh-CN"/>
        </w:rPr>
      </w:pPr>
      <w:r>
        <w:rPr>
          <w:bCs/>
          <w:lang w:eastAsia="zh-CN"/>
        </w:rPr>
        <w:t>CA_n41-n77 UL PC2</w:t>
      </w:r>
    </w:p>
    <w:p w14:paraId="4FDDE64B" w14:textId="0461A72A" w:rsidR="001364B1" w:rsidRDefault="001364B1" w:rsidP="001364B1">
      <w:pPr>
        <w:pStyle w:val="ListParagraph"/>
        <w:numPr>
          <w:ilvl w:val="0"/>
          <w:numId w:val="34"/>
        </w:numPr>
        <w:spacing w:after="0"/>
        <w:rPr>
          <w:bCs/>
          <w:lang w:eastAsia="zh-CN"/>
        </w:rPr>
      </w:pPr>
      <w:r>
        <w:rPr>
          <w:bCs/>
          <w:lang w:eastAsia="zh-CN"/>
        </w:rPr>
        <w:t xml:space="preserve">n41 PC3 1Tx, PC2 1Tx or 2Tx or PC1.5 2Tx </w:t>
      </w:r>
    </w:p>
    <w:p w14:paraId="1B5681C5" w14:textId="77777777" w:rsidR="001364B1" w:rsidRDefault="001364B1" w:rsidP="001364B1">
      <w:pPr>
        <w:pStyle w:val="ListParagraph"/>
        <w:numPr>
          <w:ilvl w:val="0"/>
          <w:numId w:val="34"/>
        </w:numPr>
        <w:spacing w:after="0"/>
        <w:rPr>
          <w:bCs/>
          <w:lang w:eastAsia="zh-CN"/>
        </w:rPr>
      </w:pPr>
      <w:r>
        <w:rPr>
          <w:bCs/>
          <w:lang w:eastAsia="zh-CN"/>
        </w:rPr>
        <w:t xml:space="preserve">n77 PC3 1Tx, PC2 1Tx or 2Tx or PC1.5 2Tx </w:t>
      </w:r>
    </w:p>
    <w:p w14:paraId="750EAD77" w14:textId="3F9DC615" w:rsidR="001364B1" w:rsidRPr="001364B1" w:rsidRDefault="001364B1" w:rsidP="001364B1">
      <w:pPr>
        <w:spacing w:after="0"/>
        <w:rPr>
          <w:rFonts w:eastAsia="SimSun"/>
          <w:bCs/>
          <w:lang w:eastAsia="zh-CN"/>
        </w:rPr>
      </w:pPr>
      <w:r>
        <w:rPr>
          <w:rFonts w:eastAsia="SimSun"/>
          <w:bCs/>
          <w:lang w:eastAsia="zh-CN"/>
        </w:rPr>
        <w:t xml:space="preserve">Since only up to 2 Transmit is allowed in </w:t>
      </w:r>
      <w:r w:rsidR="000B26E8">
        <w:rPr>
          <w:rFonts w:eastAsia="SimSun"/>
          <w:bCs/>
          <w:lang w:eastAsia="zh-CN"/>
        </w:rPr>
        <w:t>R</w:t>
      </w:r>
      <w:r>
        <w:rPr>
          <w:rFonts w:eastAsia="SimSun"/>
          <w:bCs/>
          <w:lang w:eastAsia="zh-CN"/>
        </w:rPr>
        <w:t>elease 17, the maximum power is different depending on the UL configuration, PA architecture per band and increased power capability.</w:t>
      </w:r>
    </w:p>
    <w:p w14:paraId="17A51C9D" w14:textId="794E1C91" w:rsidR="00E87473" w:rsidRDefault="00E87473" w:rsidP="00E87473">
      <w:pPr>
        <w:pStyle w:val="Heading2"/>
        <w:spacing w:after="240"/>
        <w:rPr>
          <w:lang w:eastAsia="zh-CN"/>
        </w:rPr>
      </w:pPr>
      <w:r>
        <w:rPr>
          <w:lang w:eastAsia="zh-CN"/>
        </w:rPr>
        <w:t>MSD requirement at increased power</w:t>
      </w:r>
    </w:p>
    <w:p w14:paraId="44AAEAED" w14:textId="35C8C9B6" w:rsidR="00E87473" w:rsidRDefault="00E87473" w:rsidP="00E87473">
      <w:pPr>
        <w:spacing w:after="0"/>
        <w:rPr>
          <w:lang w:val="en-GB" w:eastAsia="zh-CN"/>
        </w:rPr>
      </w:pPr>
      <w:r>
        <w:rPr>
          <w:lang w:val="en-GB" w:eastAsia="zh-CN"/>
        </w:rPr>
        <w:t>First, it should be clear that MSDs for PC2 inter-band combination that are already in the specification:</w:t>
      </w:r>
    </w:p>
    <w:p w14:paraId="72EF191D" w14:textId="58543851" w:rsidR="00E87473" w:rsidRDefault="00E87473" w:rsidP="00E87473">
      <w:pPr>
        <w:pStyle w:val="ListParagraph"/>
        <w:numPr>
          <w:ilvl w:val="0"/>
          <w:numId w:val="35"/>
        </w:numPr>
        <w:spacing w:after="0"/>
        <w:rPr>
          <w:lang w:val="en-GB" w:eastAsia="zh-CN"/>
        </w:rPr>
      </w:pPr>
      <w:r>
        <w:rPr>
          <w:lang w:val="en-GB" w:eastAsia="zh-CN"/>
        </w:rPr>
        <w:t>Will not change for 1UL since it is already considering that each band can reach its maximum power independently.</w:t>
      </w:r>
    </w:p>
    <w:p w14:paraId="20DA9573" w14:textId="7A01AD4D" w:rsidR="00715492" w:rsidRPr="00715492" w:rsidRDefault="00E87473" w:rsidP="00A17284">
      <w:pPr>
        <w:pStyle w:val="ListParagraph"/>
        <w:numPr>
          <w:ilvl w:val="0"/>
          <w:numId w:val="35"/>
        </w:numPr>
        <w:spacing w:after="0"/>
        <w:rPr>
          <w:lang w:val="en-GB" w:eastAsia="zh-CN"/>
        </w:rPr>
      </w:pPr>
      <w:r w:rsidRPr="00E87473">
        <w:rPr>
          <w:lang w:val="en-GB" w:eastAsia="zh-CN"/>
        </w:rPr>
        <w:t xml:space="preserve">The power class to determine 1UL related MSD should use the </w:t>
      </w:r>
      <w:r w:rsidRPr="00715492">
        <w:rPr>
          <w:lang w:val="en-GB" w:eastAsia="zh-CN"/>
        </w:rPr>
        <w:t xml:space="preserve">declared </w:t>
      </w:r>
      <w:r w:rsidRPr="00715492">
        <w:rPr>
          <w:lang w:eastAsia="zh-CN"/>
        </w:rPr>
        <w:t>per UL band power class in inter-band CA configuration</w:t>
      </w:r>
      <w:r w:rsidR="000B26E8">
        <w:rPr>
          <w:lang w:eastAsia="zh-CN"/>
        </w:rPr>
        <w:t>.</w:t>
      </w:r>
    </w:p>
    <w:p w14:paraId="64564BD1" w14:textId="77777777" w:rsidR="00715492" w:rsidRDefault="00715492" w:rsidP="00715492">
      <w:pPr>
        <w:spacing w:after="0"/>
        <w:rPr>
          <w:lang w:val="en-GB" w:eastAsia="zh-CN"/>
        </w:rPr>
      </w:pPr>
    </w:p>
    <w:p w14:paraId="76374E4D" w14:textId="2D626CFE" w:rsidR="00E87473" w:rsidRDefault="00E87473" w:rsidP="00715492">
      <w:pPr>
        <w:spacing w:after="0"/>
        <w:rPr>
          <w:lang w:val="en-GB" w:eastAsia="zh-CN"/>
        </w:rPr>
      </w:pPr>
      <w:r w:rsidRPr="00715492">
        <w:rPr>
          <w:lang w:val="en-GB" w:eastAsia="zh-CN"/>
        </w:rPr>
        <w:t xml:space="preserve">Thus, only 2UL </w:t>
      </w:r>
      <w:r w:rsidR="00715492">
        <w:rPr>
          <w:lang w:val="en-GB" w:eastAsia="zh-CN"/>
        </w:rPr>
        <w:t xml:space="preserve">IMD related </w:t>
      </w:r>
      <w:r w:rsidRPr="00715492">
        <w:rPr>
          <w:lang w:val="en-GB" w:eastAsia="zh-CN"/>
        </w:rPr>
        <w:t>MSDs will increase for the increased power case</w:t>
      </w:r>
      <w:r w:rsidR="00715492" w:rsidRPr="00715492">
        <w:rPr>
          <w:lang w:val="en-GB" w:eastAsia="zh-CN"/>
        </w:rPr>
        <w:t xml:space="preserve"> compared to the bas</w:t>
      </w:r>
      <w:r w:rsidR="00715492">
        <w:rPr>
          <w:lang w:val="en-GB" w:eastAsia="zh-CN"/>
        </w:rPr>
        <w:t>e</w:t>
      </w:r>
      <w:r w:rsidR="00715492" w:rsidRPr="00715492">
        <w:rPr>
          <w:lang w:val="en-GB" w:eastAsia="zh-CN"/>
        </w:rPr>
        <w:t>line PC</w:t>
      </w:r>
      <w:r w:rsidR="00715492">
        <w:rPr>
          <w:lang w:val="en-GB" w:eastAsia="zh-CN"/>
        </w:rPr>
        <w:t>2</w:t>
      </w:r>
      <w:r w:rsidR="00715492" w:rsidRPr="00715492">
        <w:rPr>
          <w:lang w:val="en-GB" w:eastAsia="zh-CN"/>
        </w:rPr>
        <w:t xml:space="preserve"> inter-band MS</w:t>
      </w:r>
      <w:r w:rsidR="00715492">
        <w:rPr>
          <w:lang w:val="en-GB" w:eastAsia="zh-CN"/>
        </w:rPr>
        <w:t>D and the increase can be directly derived from the IMD order and side</w:t>
      </w:r>
      <w:r w:rsidR="000B26E8">
        <w:rPr>
          <w:lang w:val="en-GB" w:eastAsia="zh-CN"/>
        </w:rPr>
        <w:t>,</w:t>
      </w:r>
      <w:r w:rsidR="00715492">
        <w:rPr>
          <w:lang w:val="en-GB" w:eastAsia="zh-CN"/>
        </w:rPr>
        <w:t xml:space="preserve"> compared to the increased UL band together with the amount power increase of one of the UL.</w:t>
      </w:r>
    </w:p>
    <w:p w14:paraId="4757D924" w14:textId="103226A7" w:rsidR="00715492" w:rsidRDefault="00715492" w:rsidP="00715492">
      <w:pPr>
        <w:spacing w:after="0"/>
        <w:rPr>
          <w:lang w:val="en-GB" w:eastAsia="zh-CN"/>
        </w:rPr>
      </w:pPr>
    </w:p>
    <w:p w14:paraId="6F018FB5" w14:textId="0AF2EF8F" w:rsidR="00715492" w:rsidRDefault="00715492" w:rsidP="00715492">
      <w:pPr>
        <w:spacing w:after="0"/>
        <w:rPr>
          <w:lang w:val="en-GB" w:eastAsia="zh-CN"/>
        </w:rPr>
      </w:pPr>
      <w:r>
        <w:rPr>
          <w:lang w:val="en-GB" w:eastAsia="zh-CN"/>
        </w:rPr>
        <w:t>As such, we do not see the value of additional intermodulation MSD test points for the increased power case on top of the current PC3 and PC2 cases already specified.</w:t>
      </w:r>
    </w:p>
    <w:p w14:paraId="24DCF660" w14:textId="4BE487E8" w:rsidR="00715492" w:rsidRDefault="00715492" w:rsidP="00715492">
      <w:pPr>
        <w:spacing w:after="0"/>
        <w:rPr>
          <w:lang w:val="en-GB" w:eastAsia="zh-CN"/>
        </w:rPr>
      </w:pPr>
    </w:p>
    <w:p w14:paraId="150A4F01" w14:textId="4C12B72F" w:rsidR="00715492" w:rsidRDefault="00715492" w:rsidP="00715492">
      <w:pPr>
        <w:spacing w:after="0"/>
        <w:rPr>
          <w:rFonts w:eastAsia="SimSun"/>
          <w:b/>
          <w:lang w:eastAsia="zh-CN"/>
        </w:rPr>
      </w:pPr>
      <w:r w:rsidRPr="006D0E1E">
        <w:rPr>
          <w:rFonts w:eastAsia="SimSun"/>
          <w:b/>
          <w:lang w:eastAsia="zh-CN"/>
        </w:rPr>
        <w:t xml:space="preserve">Proposal for </w:t>
      </w:r>
      <w:r>
        <w:rPr>
          <w:rFonts w:eastAsia="SimSun"/>
          <w:b/>
          <w:lang w:eastAsia="zh-CN"/>
        </w:rPr>
        <w:t>MSD</w:t>
      </w:r>
      <w:r w:rsidRPr="006D0E1E">
        <w:rPr>
          <w:rFonts w:eastAsia="SimSun"/>
          <w:b/>
          <w:lang w:eastAsia="zh-CN"/>
        </w:rPr>
        <w:t xml:space="preserve">: </w:t>
      </w:r>
      <w:r>
        <w:rPr>
          <w:rFonts w:eastAsia="SimSun"/>
          <w:b/>
          <w:lang w:eastAsia="zh-CN"/>
        </w:rPr>
        <w:t>As only the 2UL MSD can change for increased power and the increase is directly proportional to the power increase of one side and the IMD order we propose that no additional MSD is specified and measured for the “increased power” case</w:t>
      </w:r>
      <w:r w:rsidR="00D822C9">
        <w:rPr>
          <w:rFonts w:eastAsia="SimSun"/>
          <w:b/>
          <w:lang w:eastAsia="zh-CN"/>
        </w:rPr>
        <w:t>.</w:t>
      </w:r>
    </w:p>
    <w:p w14:paraId="138C8A2B" w14:textId="119D48E6" w:rsidR="00715492" w:rsidRDefault="00715492" w:rsidP="00715492">
      <w:pPr>
        <w:spacing w:after="0"/>
        <w:rPr>
          <w:rFonts w:eastAsia="SimSun"/>
          <w:b/>
          <w:lang w:eastAsia="zh-CN"/>
        </w:rPr>
      </w:pPr>
    </w:p>
    <w:p w14:paraId="5A0258A6" w14:textId="26480A5D" w:rsidR="00715492" w:rsidRPr="003570FA" w:rsidRDefault="00715492" w:rsidP="00715492">
      <w:pPr>
        <w:spacing w:after="0"/>
        <w:rPr>
          <w:rFonts w:eastAsia="SimSun"/>
          <w:bCs/>
          <w:lang w:eastAsia="zh-CN"/>
        </w:rPr>
      </w:pPr>
      <w:r w:rsidRPr="003570FA">
        <w:rPr>
          <w:rFonts w:eastAsia="SimSun"/>
          <w:bCs/>
          <w:lang w:eastAsia="zh-CN"/>
        </w:rPr>
        <w:t>Based on the above</w:t>
      </w:r>
      <w:r w:rsidR="003570FA">
        <w:rPr>
          <w:rFonts w:eastAsia="SimSun"/>
          <w:bCs/>
          <w:lang w:eastAsia="zh-CN"/>
        </w:rPr>
        <w:t>,</w:t>
      </w:r>
      <w:r w:rsidRPr="003570FA">
        <w:rPr>
          <w:rFonts w:eastAsia="SimSun"/>
          <w:bCs/>
          <w:lang w:eastAsia="zh-CN"/>
        </w:rPr>
        <w:t xml:space="preserve"> </w:t>
      </w:r>
      <w:r w:rsidR="003570FA">
        <w:rPr>
          <w:rFonts w:eastAsia="SimSun"/>
          <w:bCs/>
          <w:lang w:eastAsia="zh-CN"/>
        </w:rPr>
        <w:t xml:space="preserve">inter-band </w:t>
      </w:r>
      <w:r w:rsidRPr="003570FA">
        <w:rPr>
          <w:rFonts w:eastAsia="SimSun"/>
          <w:bCs/>
          <w:lang w:eastAsia="zh-CN"/>
        </w:rPr>
        <w:t>RFESENS for a “increased power</w:t>
      </w:r>
      <w:r w:rsidR="003570FA">
        <w:rPr>
          <w:rFonts w:eastAsia="SimSun"/>
          <w:bCs/>
          <w:lang w:eastAsia="zh-CN"/>
        </w:rPr>
        <w:t xml:space="preserve">” capable UE will be measured without enabling the “increased power” capability. Since the “increased power” capability is not compliant with regulation in some countries, that functionality of disabling the “increased power” capability is needed anyhow and </w:t>
      </w:r>
      <w:proofErr w:type="gramStart"/>
      <w:r w:rsidR="003570FA">
        <w:rPr>
          <w:rFonts w:eastAsia="SimSun"/>
          <w:bCs/>
          <w:lang w:eastAsia="zh-CN"/>
        </w:rPr>
        <w:t>in order to</w:t>
      </w:r>
      <w:proofErr w:type="gramEnd"/>
      <w:r w:rsidR="003570FA">
        <w:rPr>
          <w:rFonts w:eastAsia="SimSun"/>
          <w:bCs/>
          <w:lang w:eastAsia="zh-CN"/>
        </w:rPr>
        <w:t xml:space="preserve"> verify the increased power capability it is sufficient to measure the power in each UL bands with and without the “increased power” capability enabled</w:t>
      </w:r>
      <w:r w:rsidR="00D822C9">
        <w:rPr>
          <w:rFonts w:eastAsia="SimSun"/>
          <w:bCs/>
          <w:lang w:eastAsia="zh-CN"/>
        </w:rPr>
        <w:t xml:space="preserve"> and verify that the difference is in accordance with the per UL band power class declaration.</w:t>
      </w:r>
    </w:p>
    <w:p w14:paraId="0D3EC5CB" w14:textId="6862E1BC" w:rsidR="00615A42" w:rsidRDefault="00615A42" w:rsidP="00615A42">
      <w:pPr>
        <w:pStyle w:val="Heading2"/>
        <w:spacing w:after="240"/>
        <w:rPr>
          <w:lang w:eastAsia="zh-CN"/>
        </w:rPr>
      </w:pPr>
      <w:r>
        <w:rPr>
          <w:lang w:eastAsia="zh-CN"/>
        </w:rPr>
        <w:t xml:space="preserve">Implementing increased power in </w:t>
      </w:r>
      <w:r w:rsidR="00D30347">
        <w:rPr>
          <w:lang w:eastAsia="zh-CN"/>
        </w:rPr>
        <w:t>the specification</w:t>
      </w:r>
    </w:p>
    <w:p w14:paraId="5F33EFA8" w14:textId="2FE6BD9B" w:rsidR="00615A42" w:rsidRDefault="00615A42" w:rsidP="00615A42">
      <w:pPr>
        <w:spacing w:after="0"/>
        <w:rPr>
          <w:lang w:eastAsia="zh-CN"/>
        </w:rPr>
      </w:pPr>
      <w:r>
        <w:rPr>
          <w:lang w:eastAsia="zh-CN"/>
        </w:rPr>
        <w:t xml:space="preserve">One of the </w:t>
      </w:r>
      <w:r w:rsidR="002C7902">
        <w:rPr>
          <w:lang w:eastAsia="zh-CN"/>
        </w:rPr>
        <w:t>re</w:t>
      </w:r>
      <w:r>
        <w:rPr>
          <w:lang w:eastAsia="zh-CN"/>
        </w:rPr>
        <w:t>main</w:t>
      </w:r>
      <w:r w:rsidR="002C7902">
        <w:rPr>
          <w:lang w:eastAsia="zh-CN"/>
        </w:rPr>
        <w:t>ing</w:t>
      </w:r>
      <w:r>
        <w:rPr>
          <w:lang w:eastAsia="zh-CN"/>
        </w:rPr>
        <w:t xml:space="preserve"> issue</w:t>
      </w:r>
      <w:r w:rsidR="00EE4AF2">
        <w:rPr>
          <w:lang w:eastAsia="zh-CN"/>
        </w:rPr>
        <w:t>s</w:t>
      </w:r>
      <w:r>
        <w:rPr>
          <w:lang w:eastAsia="zh-CN"/>
        </w:rPr>
        <w:t xml:space="preserve"> </w:t>
      </w:r>
      <w:r w:rsidR="002C7902">
        <w:rPr>
          <w:lang w:eastAsia="zh-CN"/>
        </w:rPr>
        <w:t xml:space="preserve">is whether the increased power applies to </w:t>
      </w:r>
      <w:r w:rsidR="00CD4EA2">
        <w:rPr>
          <w:lang w:eastAsia="zh-CN"/>
        </w:rPr>
        <w:t xml:space="preserve">the lower </w:t>
      </w:r>
      <w:proofErr w:type="spellStart"/>
      <w:r w:rsidR="00CD4EA2">
        <w:rPr>
          <w:lang w:eastAsia="zh-CN"/>
        </w:rPr>
        <w:t>PCmax</w:t>
      </w:r>
      <w:proofErr w:type="spellEnd"/>
      <w:r w:rsidR="00CD4EA2">
        <w:rPr>
          <w:lang w:eastAsia="zh-CN"/>
        </w:rPr>
        <w:t xml:space="preserve"> limit on top of the upper </w:t>
      </w:r>
      <w:proofErr w:type="spellStart"/>
      <w:r w:rsidR="00CD4EA2">
        <w:rPr>
          <w:lang w:eastAsia="zh-CN"/>
        </w:rPr>
        <w:t>PCmax</w:t>
      </w:r>
      <w:proofErr w:type="spellEnd"/>
      <w:r w:rsidR="00CD4EA2">
        <w:rPr>
          <w:lang w:eastAsia="zh-CN"/>
        </w:rPr>
        <w:t xml:space="preserve"> limit.</w:t>
      </w:r>
      <w:r w:rsidR="00D822C9">
        <w:rPr>
          <w:lang w:eastAsia="zh-CN"/>
        </w:rPr>
        <w:t xml:space="preserve"> It seems that the proponents of the increasing both the lower and higher limit are concerned with the fact that the UE could declared the “increased power” capability without increasing it.</w:t>
      </w:r>
      <w:r w:rsidR="000B26E8">
        <w:rPr>
          <w:lang w:eastAsia="zh-CN"/>
        </w:rPr>
        <w:t xml:space="preserve"> Though i</w:t>
      </w:r>
      <w:r w:rsidR="00D822C9">
        <w:rPr>
          <w:lang w:eastAsia="zh-CN"/>
        </w:rPr>
        <w:t>t should be noted that with the current +2/-3dB tolerances</w:t>
      </w:r>
      <w:r w:rsidR="000B26E8">
        <w:rPr>
          <w:lang w:eastAsia="zh-CN"/>
        </w:rPr>
        <w:t>,</w:t>
      </w:r>
      <w:r w:rsidR="00D822C9">
        <w:rPr>
          <w:lang w:eastAsia="zh-CN"/>
        </w:rPr>
        <w:t xml:space="preserve"> a UE that is calibrated to fit into the upper 3dB of the range would meet a 1.8dB “increased power” lower limit without </w:t>
      </w:r>
      <w:r w:rsidR="00B21581">
        <w:rPr>
          <w:lang w:eastAsia="zh-CN"/>
        </w:rPr>
        <w:t>changing</w:t>
      </w:r>
      <w:r w:rsidR="00D822C9">
        <w:rPr>
          <w:lang w:eastAsia="zh-CN"/>
        </w:rPr>
        <w:t xml:space="preserve"> its power.</w:t>
      </w:r>
      <w:r w:rsidR="00B21581">
        <w:rPr>
          <w:lang w:eastAsia="zh-CN"/>
        </w:rPr>
        <w:t xml:space="preserve"> It is th</w:t>
      </w:r>
      <w:r w:rsidR="000B26E8">
        <w:rPr>
          <w:lang w:eastAsia="zh-CN"/>
        </w:rPr>
        <w:t>erefore</w:t>
      </w:r>
      <w:r w:rsidR="00B21581">
        <w:rPr>
          <w:lang w:eastAsia="zh-CN"/>
        </w:rPr>
        <w:t xml:space="preserve"> </w:t>
      </w:r>
      <w:r w:rsidR="000B26E8">
        <w:rPr>
          <w:lang w:eastAsia="zh-CN"/>
        </w:rPr>
        <w:t>best</w:t>
      </w:r>
      <w:r w:rsidR="00B21581">
        <w:rPr>
          <w:lang w:eastAsia="zh-CN"/>
        </w:rPr>
        <w:t xml:space="preserve"> to verify a 3dB power change with/without the capability enabled on each band </w:t>
      </w:r>
      <w:r w:rsidR="000B26E8">
        <w:rPr>
          <w:lang w:eastAsia="zh-CN"/>
        </w:rPr>
        <w:t xml:space="preserve">rather </w:t>
      </w:r>
      <w:r w:rsidR="00B21581">
        <w:rPr>
          <w:lang w:eastAsia="zh-CN"/>
        </w:rPr>
        <w:t xml:space="preserve">than checking </w:t>
      </w:r>
      <w:r w:rsidR="000B26E8">
        <w:rPr>
          <w:lang w:eastAsia="zh-CN"/>
        </w:rPr>
        <w:t>whether it</w:t>
      </w:r>
      <w:r w:rsidR="00B21581">
        <w:rPr>
          <w:lang w:eastAsia="zh-CN"/>
        </w:rPr>
        <w:t xml:space="preserve"> fits in a 1.8dB shifted range that overlap significantly with the normal PC2 range.</w:t>
      </w:r>
    </w:p>
    <w:p w14:paraId="4F29DADE" w14:textId="13BE671E" w:rsidR="00B21581" w:rsidRDefault="00B21581" w:rsidP="00615A42">
      <w:pPr>
        <w:spacing w:after="0"/>
        <w:rPr>
          <w:lang w:eastAsia="zh-CN"/>
        </w:rPr>
      </w:pPr>
    </w:p>
    <w:p w14:paraId="0A86B607" w14:textId="4204BDE6" w:rsidR="00B21581" w:rsidRDefault="00B21581" w:rsidP="00615A42">
      <w:pPr>
        <w:spacing w:after="0"/>
        <w:rPr>
          <w:lang w:eastAsia="zh-CN"/>
        </w:rPr>
      </w:pPr>
      <w:r>
        <w:rPr>
          <w:lang w:eastAsia="zh-CN"/>
        </w:rPr>
        <w:t xml:space="preserve">It should also be noted that MPR/A-MPR only applies per band and thus should be applied versus the declared </w:t>
      </w:r>
      <w:r w:rsidRPr="00B21581">
        <w:rPr>
          <w:lang w:eastAsia="zh-CN"/>
        </w:rPr>
        <w:t>per UL band power class in inter-band CA configuration</w:t>
      </w:r>
      <w:r>
        <w:rPr>
          <w:lang w:eastAsia="zh-CN"/>
        </w:rPr>
        <w:t>.</w:t>
      </w:r>
    </w:p>
    <w:p w14:paraId="124E5AFA" w14:textId="6304D759" w:rsidR="00B21581" w:rsidRDefault="00B21581" w:rsidP="00615A42">
      <w:pPr>
        <w:spacing w:after="0"/>
        <w:rPr>
          <w:lang w:eastAsia="zh-CN"/>
        </w:rPr>
      </w:pPr>
    </w:p>
    <w:p w14:paraId="4046191F" w14:textId="65C7C94A" w:rsidR="00CD4EA2" w:rsidRPr="00B21581" w:rsidRDefault="00B21581" w:rsidP="00615A42">
      <w:pPr>
        <w:spacing w:after="0"/>
        <w:rPr>
          <w:b/>
          <w:bCs/>
          <w:lang w:eastAsia="zh-CN"/>
        </w:rPr>
      </w:pPr>
      <w:r w:rsidRPr="00B21581">
        <w:rPr>
          <w:b/>
          <w:bCs/>
          <w:lang w:eastAsia="zh-CN"/>
        </w:rPr>
        <w:t xml:space="preserve">Proposal on checking “increased power” capability: </w:t>
      </w:r>
      <w:r w:rsidR="00D30347">
        <w:rPr>
          <w:b/>
          <w:bCs/>
          <w:lang w:eastAsia="zh-CN"/>
        </w:rPr>
        <w:t>R</w:t>
      </w:r>
      <w:r w:rsidRPr="00B21581">
        <w:rPr>
          <w:b/>
          <w:bCs/>
          <w:lang w:eastAsia="zh-CN"/>
        </w:rPr>
        <w:t xml:space="preserve">ather than checking a total inter-band CA </w:t>
      </w:r>
      <w:proofErr w:type="spellStart"/>
      <w:r w:rsidRPr="00B21581">
        <w:rPr>
          <w:b/>
          <w:bCs/>
          <w:lang w:eastAsia="zh-CN"/>
        </w:rPr>
        <w:t>PCmax</w:t>
      </w:r>
      <w:proofErr w:type="spellEnd"/>
      <w:r w:rsidRPr="00B21581">
        <w:rPr>
          <w:b/>
          <w:bCs/>
          <w:lang w:eastAsia="zh-CN"/>
        </w:rPr>
        <w:t xml:space="preserve"> range, we propose </w:t>
      </w:r>
      <w:r w:rsidR="000B26E8">
        <w:rPr>
          <w:b/>
          <w:bCs/>
          <w:lang w:eastAsia="zh-CN"/>
        </w:rPr>
        <w:t>measuring</w:t>
      </w:r>
      <w:r w:rsidRPr="00B21581">
        <w:rPr>
          <w:b/>
          <w:bCs/>
          <w:lang w:eastAsia="zh-CN"/>
        </w:rPr>
        <w:t xml:space="preserve"> the </w:t>
      </w:r>
      <w:proofErr w:type="spellStart"/>
      <w:r w:rsidRPr="00B21581">
        <w:rPr>
          <w:b/>
          <w:bCs/>
          <w:lang w:eastAsia="zh-CN"/>
        </w:rPr>
        <w:t>PCmax</w:t>
      </w:r>
      <w:proofErr w:type="spellEnd"/>
      <w:r w:rsidRPr="00B21581">
        <w:rPr>
          <w:b/>
          <w:bCs/>
          <w:lang w:eastAsia="zh-CN"/>
        </w:rPr>
        <w:t xml:space="preserve"> per band according to the declared per UL band power class in inter-band CA configuration</w:t>
      </w:r>
      <w:r>
        <w:rPr>
          <w:b/>
          <w:bCs/>
          <w:lang w:eastAsia="zh-CN"/>
        </w:rPr>
        <w:t xml:space="preserve"> with and without the “increased power” capability enabled. For a UE with “increased power capability”, only a per UL band </w:t>
      </w:r>
      <w:proofErr w:type="spellStart"/>
      <w:r>
        <w:rPr>
          <w:b/>
          <w:bCs/>
          <w:lang w:eastAsia="zh-CN"/>
        </w:rPr>
        <w:t>PCmax</w:t>
      </w:r>
      <w:proofErr w:type="spellEnd"/>
      <w:r>
        <w:rPr>
          <w:b/>
          <w:bCs/>
          <w:lang w:eastAsia="zh-CN"/>
        </w:rPr>
        <w:t xml:space="preserve"> is specified according to the </w:t>
      </w:r>
      <w:r w:rsidRPr="00B21581">
        <w:rPr>
          <w:b/>
          <w:bCs/>
          <w:lang w:eastAsia="zh-CN"/>
        </w:rPr>
        <w:t>per UL band power class in inter-band CA configuration</w:t>
      </w:r>
      <w:r>
        <w:rPr>
          <w:b/>
          <w:bCs/>
          <w:lang w:eastAsia="zh-CN"/>
        </w:rPr>
        <w:t xml:space="preserve"> declaration.</w:t>
      </w:r>
    </w:p>
    <w:p w14:paraId="7BE54F94" w14:textId="77777777" w:rsidR="00305289" w:rsidRDefault="00305289" w:rsidP="00305289">
      <w:pPr>
        <w:pStyle w:val="Heading1"/>
      </w:pPr>
      <w:r>
        <w:lastRenderedPageBreak/>
        <w:t>Conclusions</w:t>
      </w:r>
    </w:p>
    <w:p w14:paraId="3C251E6A" w14:textId="162D0933" w:rsidR="006E4FCE" w:rsidRDefault="00305289" w:rsidP="00FE650D">
      <w:pPr>
        <w:spacing w:after="0"/>
        <w:jc w:val="both"/>
      </w:pPr>
      <w:r>
        <w:t xml:space="preserve">In this contribution, </w:t>
      </w:r>
      <w:r w:rsidR="009B4F03">
        <w:t xml:space="preserve">we </w:t>
      </w:r>
      <w:r w:rsidR="00233402">
        <w:t>discuss</w:t>
      </w:r>
      <w:r w:rsidR="00A562EF">
        <w:t xml:space="preserve"> </w:t>
      </w:r>
      <w:r w:rsidR="00A44102">
        <w:t xml:space="preserve">all the possible </w:t>
      </w:r>
      <w:r w:rsidR="00D30347">
        <w:t xml:space="preserve">1Tx/2Tx configurations </w:t>
      </w:r>
      <w:r w:rsidR="00A44102">
        <w:t>per UL band and their achievable maximum output power</w:t>
      </w:r>
      <w:r w:rsidR="00D30347">
        <w:t xml:space="preserve"> for PC2 “increased power” case, associated signaling, MSD and </w:t>
      </w:r>
      <w:proofErr w:type="spellStart"/>
      <w:r w:rsidR="00D30347">
        <w:t>PCmax</w:t>
      </w:r>
      <w:proofErr w:type="spellEnd"/>
      <w:r w:rsidR="00D30347">
        <w:t xml:space="preserve"> aspect. Based on this</w:t>
      </w:r>
      <w:r w:rsidR="000B26E8">
        <w:t>,</w:t>
      </w:r>
      <w:r w:rsidR="00D30347">
        <w:t xml:space="preserve"> we </w:t>
      </w:r>
      <w:r w:rsidR="000B26E8">
        <w:t xml:space="preserve">provide </w:t>
      </w:r>
      <w:r w:rsidR="00A44102">
        <w:t>the following proposals.</w:t>
      </w:r>
    </w:p>
    <w:p w14:paraId="3092A32B" w14:textId="77777777" w:rsidR="00610CD6" w:rsidRDefault="00610CD6" w:rsidP="00FE650D">
      <w:pPr>
        <w:spacing w:after="0"/>
        <w:jc w:val="both"/>
      </w:pPr>
    </w:p>
    <w:p w14:paraId="089A5DFC" w14:textId="77777777" w:rsidR="000B26E8" w:rsidRDefault="000B26E8" w:rsidP="000B26E8">
      <w:pPr>
        <w:spacing w:after="0"/>
        <w:rPr>
          <w:rFonts w:eastAsia="SimSun"/>
          <w:b/>
          <w:lang w:eastAsia="zh-CN"/>
        </w:rPr>
      </w:pPr>
      <w:r w:rsidRPr="006D0E1E">
        <w:rPr>
          <w:rFonts w:eastAsia="SimSun"/>
          <w:b/>
          <w:lang w:eastAsia="zh-CN"/>
        </w:rPr>
        <w:t xml:space="preserve">Proposal for </w:t>
      </w:r>
      <w:r>
        <w:rPr>
          <w:rFonts w:eastAsia="SimSun"/>
          <w:b/>
          <w:lang w:eastAsia="zh-CN"/>
        </w:rPr>
        <w:t>signaling</w:t>
      </w:r>
      <w:r w:rsidRPr="006D0E1E">
        <w:rPr>
          <w:rFonts w:eastAsia="SimSun"/>
          <w:b/>
          <w:lang w:eastAsia="zh-CN"/>
        </w:rPr>
        <w:t>:</w:t>
      </w:r>
    </w:p>
    <w:p w14:paraId="25145202" w14:textId="77777777" w:rsidR="000B26E8" w:rsidRPr="00B676B6" w:rsidRDefault="000B26E8" w:rsidP="000B26E8">
      <w:pPr>
        <w:pStyle w:val="ListParagraph"/>
        <w:numPr>
          <w:ilvl w:val="0"/>
          <w:numId w:val="32"/>
        </w:numPr>
        <w:spacing w:after="0"/>
        <w:rPr>
          <w:b/>
          <w:lang w:eastAsia="zh-CN"/>
        </w:rPr>
      </w:pPr>
      <w:r>
        <w:rPr>
          <w:b/>
          <w:lang w:eastAsia="zh-CN"/>
        </w:rPr>
        <w:t>An optional UE capability for increased power is introduced in Release 17</w:t>
      </w:r>
    </w:p>
    <w:p w14:paraId="179AD8D1" w14:textId="77777777" w:rsidR="000B26E8" w:rsidRDefault="000B26E8" w:rsidP="000B26E8">
      <w:pPr>
        <w:pStyle w:val="ListParagraph"/>
        <w:numPr>
          <w:ilvl w:val="0"/>
          <w:numId w:val="32"/>
        </w:numPr>
        <w:spacing w:after="0"/>
        <w:rPr>
          <w:b/>
          <w:lang w:eastAsia="zh-CN"/>
        </w:rPr>
      </w:pPr>
      <w:r>
        <w:rPr>
          <w:b/>
          <w:lang w:eastAsia="zh-CN"/>
        </w:rPr>
        <w:t>A</w:t>
      </w:r>
      <w:r w:rsidRPr="00A44102">
        <w:rPr>
          <w:b/>
          <w:lang w:eastAsia="zh-CN"/>
        </w:rPr>
        <w:t xml:space="preserve"> per UL band power class in inter-band CA configuration is introdu</w:t>
      </w:r>
      <w:r>
        <w:rPr>
          <w:b/>
          <w:lang w:eastAsia="zh-CN"/>
        </w:rPr>
        <w:t>ced in Release 17 that can serve for PC2 inter-band CA with or without increased power capability but can later support any combinations including 3Tx cases</w:t>
      </w:r>
    </w:p>
    <w:p w14:paraId="2A7C8558" w14:textId="77777777" w:rsidR="000B26E8" w:rsidRPr="00A44102" w:rsidRDefault="000B26E8" w:rsidP="000B26E8">
      <w:pPr>
        <w:pStyle w:val="ListParagraph"/>
        <w:numPr>
          <w:ilvl w:val="0"/>
          <w:numId w:val="32"/>
        </w:numPr>
        <w:spacing w:after="0"/>
        <w:rPr>
          <w:b/>
          <w:lang w:eastAsia="zh-CN"/>
        </w:rPr>
      </w:pPr>
      <w:r>
        <w:rPr>
          <w:b/>
          <w:lang w:eastAsia="zh-CN"/>
        </w:rPr>
        <w:t>The increased power is calculated as the difference between the power sum of the declared per UL power class and the declared inter-band power class</w:t>
      </w:r>
    </w:p>
    <w:p w14:paraId="06145C63" w14:textId="77777777" w:rsidR="000B26E8" w:rsidRDefault="000B26E8" w:rsidP="000B26E8">
      <w:pPr>
        <w:pStyle w:val="ListParagraph"/>
        <w:numPr>
          <w:ilvl w:val="0"/>
          <w:numId w:val="32"/>
        </w:numPr>
        <w:spacing w:after="0"/>
        <w:rPr>
          <w:b/>
          <w:lang w:eastAsia="zh-CN"/>
        </w:rPr>
      </w:pPr>
      <w:r>
        <w:rPr>
          <w:b/>
          <w:lang w:eastAsia="zh-CN"/>
        </w:rPr>
        <w:t xml:space="preserve">For UL band where the single band power class can only be achieved with 2 Tx, the per UL band power </w:t>
      </w:r>
      <w:r w:rsidRPr="00A44102">
        <w:rPr>
          <w:b/>
          <w:lang w:eastAsia="zh-CN"/>
        </w:rPr>
        <w:t xml:space="preserve">class in inter-band CA configuration </w:t>
      </w:r>
      <w:r>
        <w:rPr>
          <w:b/>
          <w:lang w:eastAsia="zh-CN"/>
        </w:rPr>
        <w:t>should signal a power class equivalent to its single band power class -3dB.</w:t>
      </w:r>
    </w:p>
    <w:p w14:paraId="1A0CFC71" w14:textId="7C10EE87" w:rsidR="00D822C9" w:rsidRDefault="00D822C9" w:rsidP="00D822C9">
      <w:pPr>
        <w:spacing w:after="0"/>
        <w:rPr>
          <w:b/>
          <w:lang w:eastAsia="zh-CN"/>
        </w:rPr>
      </w:pPr>
    </w:p>
    <w:p w14:paraId="7A125C1A" w14:textId="77777777" w:rsidR="000B26E8" w:rsidRDefault="000B26E8" w:rsidP="000B26E8">
      <w:pPr>
        <w:spacing w:after="0"/>
        <w:rPr>
          <w:rFonts w:eastAsia="SimSun"/>
          <w:b/>
          <w:lang w:eastAsia="zh-CN"/>
        </w:rPr>
      </w:pPr>
      <w:r w:rsidRPr="006D0E1E">
        <w:rPr>
          <w:rFonts w:eastAsia="SimSun"/>
          <w:b/>
          <w:lang w:eastAsia="zh-CN"/>
        </w:rPr>
        <w:t xml:space="preserve">Proposal for </w:t>
      </w:r>
      <w:r>
        <w:rPr>
          <w:rFonts w:eastAsia="SimSun"/>
          <w:b/>
          <w:lang w:eastAsia="zh-CN"/>
        </w:rPr>
        <w:t>MSD</w:t>
      </w:r>
      <w:r w:rsidRPr="006D0E1E">
        <w:rPr>
          <w:rFonts w:eastAsia="SimSun"/>
          <w:b/>
          <w:lang w:eastAsia="zh-CN"/>
        </w:rPr>
        <w:t xml:space="preserve">: </w:t>
      </w:r>
      <w:r>
        <w:rPr>
          <w:rFonts w:eastAsia="SimSun"/>
          <w:b/>
          <w:lang w:eastAsia="zh-CN"/>
        </w:rPr>
        <w:t>As only the 2UL MSD can change for increased power and the increase is directly proportional to the power increase of one side and the IMD order we propose that no additional MSD is specified and measured for the “increased power” case.</w:t>
      </w:r>
    </w:p>
    <w:p w14:paraId="309BA808" w14:textId="625C0AB5" w:rsidR="00D822C9" w:rsidRDefault="00D822C9" w:rsidP="00D822C9">
      <w:pPr>
        <w:spacing w:after="0"/>
        <w:rPr>
          <w:b/>
          <w:lang w:eastAsia="zh-CN"/>
        </w:rPr>
      </w:pPr>
    </w:p>
    <w:p w14:paraId="7C0D6584" w14:textId="0089342C" w:rsidR="000B26E8" w:rsidRPr="00B21581" w:rsidRDefault="000B26E8" w:rsidP="000B26E8">
      <w:pPr>
        <w:spacing w:after="0"/>
        <w:rPr>
          <w:b/>
          <w:bCs/>
          <w:lang w:eastAsia="zh-CN"/>
        </w:rPr>
      </w:pPr>
      <w:r w:rsidRPr="00B21581">
        <w:rPr>
          <w:b/>
          <w:bCs/>
          <w:lang w:eastAsia="zh-CN"/>
        </w:rPr>
        <w:t xml:space="preserve">Proposal on checking “increased power” capability: </w:t>
      </w:r>
      <w:r>
        <w:rPr>
          <w:b/>
          <w:bCs/>
          <w:lang w:eastAsia="zh-CN"/>
        </w:rPr>
        <w:t>R</w:t>
      </w:r>
      <w:r w:rsidRPr="00B21581">
        <w:rPr>
          <w:b/>
          <w:bCs/>
          <w:lang w:eastAsia="zh-CN"/>
        </w:rPr>
        <w:t xml:space="preserve">ather than checking a total inter-band CA </w:t>
      </w:r>
      <w:proofErr w:type="spellStart"/>
      <w:r w:rsidRPr="00B21581">
        <w:rPr>
          <w:b/>
          <w:bCs/>
          <w:lang w:eastAsia="zh-CN"/>
        </w:rPr>
        <w:t>PCmax</w:t>
      </w:r>
      <w:proofErr w:type="spellEnd"/>
      <w:r w:rsidRPr="00B21581">
        <w:rPr>
          <w:b/>
          <w:bCs/>
          <w:lang w:eastAsia="zh-CN"/>
        </w:rPr>
        <w:t xml:space="preserve"> range, we propose </w:t>
      </w:r>
      <w:r>
        <w:rPr>
          <w:b/>
          <w:bCs/>
          <w:lang w:eastAsia="zh-CN"/>
        </w:rPr>
        <w:t xml:space="preserve">measuring </w:t>
      </w:r>
      <w:r w:rsidRPr="00B21581">
        <w:rPr>
          <w:b/>
          <w:bCs/>
          <w:lang w:eastAsia="zh-CN"/>
        </w:rPr>
        <w:t xml:space="preserve">the </w:t>
      </w:r>
      <w:proofErr w:type="spellStart"/>
      <w:r w:rsidRPr="00B21581">
        <w:rPr>
          <w:b/>
          <w:bCs/>
          <w:lang w:eastAsia="zh-CN"/>
        </w:rPr>
        <w:t>PCmax</w:t>
      </w:r>
      <w:proofErr w:type="spellEnd"/>
      <w:r w:rsidRPr="00B21581">
        <w:rPr>
          <w:b/>
          <w:bCs/>
          <w:lang w:eastAsia="zh-CN"/>
        </w:rPr>
        <w:t xml:space="preserve"> per band according to the declared per UL band power class in inter-band CA configuration</w:t>
      </w:r>
      <w:r>
        <w:rPr>
          <w:b/>
          <w:bCs/>
          <w:lang w:eastAsia="zh-CN"/>
        </w:rPr>
        <w:t xml:space="preserve"> with and without the “increased power” capability enabled. For a UE with “increased power capability”, only a per UL band </w:t>
      </w:r>
      <w:proofErr w:type="spellStart"/>
      <w:r>
        <w:rPr>
          <w:b/>
          <w:bCs/>
          <w:lang w:eastAsia="zh-CN"/>
        </w:rPr>
        <w:t>PCmax</w:t>
      </w:r>
      <w:proofErr w:type="spellEnd"/>
      <w:r>
        <w:rPr>
          <w:b/>
          <w:bCs/>
          <w:lang w:eastAsia="zh-CN"/>
        </w:rPr>
        <w:t xml:space="preserve"> is specified according to the </w:t>
      </w:r>
      <w:r w:rsidRPr="00B21581">
        <w:rPr>
          <w:b/>
          <w:bCs/>
          <w:lang w:eastAsia="zh-CN"/>
        </w:rPr>
        <w:t>per UL band power class in inter-band CA configuration</w:t>
      </w:r>
      <w:r>
        <w:rPr>
          <w:b/>
          <w:bCs/>
          <w:lang w:eastAsia="zh-CN"/>
        </w:rPr>
        <w:t xml:space="preserve"> declaration.</w:t>
      </w:r>
    </w:p>
    <w:p w14:paraId="03D6921F" w14:textId="77777777" w:rsidR="00F10F97" w:rsidRDefault="007321E3" w:rsidP="00C8525F">
      <w:pPr>
        <w:pStyle w:val="Heading1"/>
        <w:numPr>
          <w:ilvl w:val="0"/>
          <w:numId w:val="0"/>
        </w:numPr>
        <w:jc w:val="both"/>
      </w:pPr>
      <w:r>
        <w:t>R</w:t>
      </w:r>
      <w:r w:rsidR="00F10F97">
        <w:t>eferences</w:t>
      </w:r>
    </w:p>
    <w:p w14:paraId="621B9CA8" w14:textId="63BA6401" w:rsidR="00292F35" w:rsidRDefault="003C4E3B" w:rsidP="003C4E3B">
      <w:pPr>
        <w:pStyle w:val="ListParagraph"/>
        <w:widowControl w:val="0"/>
        <w:numPr>
          <w:ilvl w:val="0"/>
          <w:numId w:val="11"/>
        </w:numPr>
        <w:snapToGrid w:val="0"/>
      </w:pPr>
      <w:r w:rsidRPr="003C4E3B">
        <w:t>R4-2200494 Implementation aspects of increasing MOP for PC2 inter-band ULCA</w:t>
      </w:r>
      <w:r w:rsidR="00BF60DC">
        <w:t>, Skyworks Solutions</w:t>
      </w:r>
      <w:r w:rsidR="004169B2">
        <w:t>,</w:t>
      </w:r>
      <w:r w:rsidR="00BF60DC">
        <w:t xml:space="preserve"> Inc.,</w:t>
      </w:r>
      <w:r w:rsidR="00AC0587">
        <w:t xml:space="preserve"> RAN4#10</w:t>
      </w:r>
      <w:r>
        <w:t>1b</w:t>
      </w:r>
      <w:r w:rsidR="00AC0587">
        <w:t>-e</w:t>
      </w:r>
    </w:p>
    <w:p w14:paraId="009B74CD" w14:textId="3D1CDD27" w:rsidR="0019056A" w:rsidRPr="004463F3" w:rsidRDefault="0019056A" w:rsidP="0019056A">
      <w:pPr>
        <w:pStyle w:val="ListParagraph"/>
        <w:widowControl w:val="0"/>
        <w:numPr>
          <w:ilvl w:val="0"/>
          <w:numId w:val="11"/>
        </w:numPr>
        <w:snapToGrid w:val="0"/>
      </w:pPr>
      <w:r w:rsidRPr="0019056A">
        <w:t>R4-2205865 Valid 1Tx and 2Tx configurations for increased power option for inter-band CA</w:t>
      </w:r>
      <w:r>
        <w:t>, Skyworks Solutions, Inc., RAN4#102-e</w:t>
      </w:r>
    </w:p>
    <w:sectPr w:rsidR="0019056A" w:rsidRPr="004463F3"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3FB7B" w14:textId="77777777" w:rsidR="00CF32E5" w:rsidRDefault="00CF32E5">
      <w:r>
        <w:separator/>
      </w:r>
    </w:p>
  </w:endnote>
  <w:endnote w:type="continuationSeparator" w:id="0">
    <w:p w14:paraId="0FD182AA" w14:textId="77777777" w:rsidR="00CF32E5" w:rsidRDefault="00CF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A7E08" w:rsidRDefault="007A7E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14789" w14:textId="77777777" w:rsidR="00CF32E5" w:rsidRDefault="00CF32E5">
      <w:r>
        <w:separator/>
      </w:r>
    </w:p>
  </w:footnote>
  <w:footnote w:type="continuationSeparator" w:id="0">
    <w:p w14:paraId="37E4C39C" w14:textId="77777777" w:rsidR="00CF32E5" w:rsidRDefault="00CF3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3C14BB"/>
    <w:multiLevelType w:val="hybridMultilevel"/>
    <w:tmpl w:val="F1A0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A26E36"/>
    <w:multiLevelType w:val="hybridMultilevel"/>
    <w:tmpl w:val="A51A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366C2"/>
    <w:multiLevelType w:val="hybridMultilevel"/>
    <w:tmpl w:val="B9DEFD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15:restartNumberingAfterBreak="0">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0714B"/>
    <w:multiLevelType w:val="hybridMultilevel"/>
    <w:tmpl w:val="C6A8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5"/>
  </w:num>
  <w:num w:numId="4">
    <w:abstractNumId w:val="32"/>
  </w:num>
  <w:num w:numId="5">
    <w:abstractNumId w:val="13"/>
  </w:num>
  <w:num w:numId="6">
    <w:abstractNumId w:val="4"/>
  </w:num>
  <w:num w:numId="7">
    <w:abstractNumId w:val="16"/>
  </w:num>
  <w:num w:numId="8">
    <w:abstractNumId w:val="29"/>
  </w:num>
  <w:num w:numId="9">
    <w:abstractNumId w:val="30"/>
  </w:num>
  <w:num w:numId="10">
    <w:abstractNumId w:val="3"/>
  </w:num>
  <w:num w:numId="11">
    <w:abstractNumId w:val="10"/>
  </w:num>
  <w:num w:numId="12">
    <w:abstractNumId w:val="17"/>
  </w:num>
  <w:num w:numId="13">
    <w:abstractNumId w:val="21"/>
  </w:num>
  <w:num w:numId="14">
    <w:abstractNumId w:val="7"/>
  </w:num>
  <w:num w:numId="15">
    <w:abstractNumId w:val="11"/>
  </w:num>
  <w:num w:numId="16">
    <w:abstractNumId w:val="1"/>
  </w:num>
  <w:num w:numId="17">
    <w:abstractNumId w:val="18"/>
  </w:num>
  <w:num w:numId="18">
    <w:abstractNumId w:val="12"/>
  </w:num>
  <w:num w:numId="19">
    <w:abstractNumId w:val="28"/>
  </w:num>
  <w:num w:numId="20">
    <w:abstractNumId w:val="31"/>
  </w:num>
  <w:num w:numId="21">
    <w:abstractNumId w:val="9"/>
  </w:num>
  <w:num w:numId="22">
    <w:abstractNumId w:val="6"/>
  </w:num>
  <w:num w:numId="23">
    <w:abstractNumId w:val="0"/>
  </w:num>
  <w:num w:numId="24">
    <w:abstractNumId w:val="8"/>
  </w:num>
  <w:num w:numId="25">
    <w:abstractNumId w:val="23"/>
  </w:num>
  <w:num w:numId="26">
    <w:abstractNumId w:val="34"/>
  </w:num>
  <w:num w:numId="27">
    <w:abstractNumId w:val="20"/>
  </w:num>
  <w:num w:numId="28">
    <w:abstractNumId w:val="26"/>
  </w:num>
  <w:num w:numId="29">
    <w:abstractNumId w:val="2"/>
  </w:num>
  <w:num w:numId="30">
    <w:abstractNumId w:val="27"/>
  </w:num>
  <w:num w:numId="31">
    <w:abstractNumId w:val="33"/>
  </w:num>
  <w:num w:numId="32">
    <w:abstractNumId w:val="25"/>
  </w:num>
  <w:num w:numId="33">
    <w:abstractNumId w:val="24"/>
  </w:num>
  <w:num w:numId="34">
    <w:abstractNumId w:val="19"/>
  </w:num>
  <w:num w:numId="3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6E8"/>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841"/>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2B6E"/>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492"/>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07842"/>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2E5"/>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9273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2022-04-23T17:15:00Z</dcterms:created>
  <dcterms:modified xsi:type="dcterms:W3CDTF">2022-04-23T17:15:00Z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